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7339"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xmlns:w="http://schemas.openxmlformats.org/wordprocessingml/2006/main" w:id="60002704" w:name="3.1Algemenerisicobeoordeling-MODEL1"/>
    <w:bookmarkEnd xmlns:w="http://schemas.openxmlformats.org/wordprocessingml/2006/main" w:id="60002704"/>
    <w:p xmlns:w="http://schemas.openxmlformats.org/wordprocessingml/2006/main" xmlns:w14="http://schemas.microsoft.com/office/word/2010/wordml" w14:paraId="6825B661" w14:textId="77777777" w:rsidR="00545768" w:rsidRDefault="00545768" w:rsidP="00161314">
      <w:pPr>
        <w:pStyle w:val="Titel"/>
        <w:rPr>
          <w:noProof/>
        </w:rPr>
      </w:pPr>
      <w:r w:rsidRPr="00EC1946">
        <w:rPr>
          <w:noProof/>
        </w:rPr>
        <w:t xml:space="preserve">3.1 Algemene risicobeoordeling - MODEL 1</w:t>
      </w:r>
    </w:p>
    <w:tbl xmlns:w="http://schemas.openxmlformats.org/wordprocessingml/2006/main">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CellMar>
          <w:top w:w="30" w:type="dxa"/>
          <w:right w:w="75" w:type="dxa"/>
          <w:bottom w:w="40" w:type="dxa"/>
          <w:left w:w="75" w:type="dxa"/>
        </w:tblCellMar>
      </w:tblPr>
      <w:tblGrid>
        <w:gridCol w:w="1"/>
        <w:gridCol w:w="1"/>
      </w:tblGrid>
      <w:tr>
        <w:trPr>
          <w:trHeight w:val="400" w:hRule="atLeast"/>
        </w:trPr>
        <w:tc>
          <w:tcPr>
            <w:tcW w:w="300" w:type="dxa"/>
            <w:vMerge w:val="restart"/>
            <w:tcBorders>
              <w:top w:val="none" w:color="000000" w:sz="6" w:space="0"/>
              <w:left w:val="none" w:color="000000" w:sz="6" w:space="0"/>
              <w:bottom w:val="none" w:color="000000" w:sz="6" w:space="0"/>
              <w:right w:val="none" w:color="000000" w:sz="6" w:space="0"/>
            </w:tcBorders>
            <w:shd w:val="clear" w:fill="fff3d0"/>
            <w:vAlign w:val="center"/>
          </w:tcPr>
          <w:p>
            <w:pPr>
              <w:rPr>
                <w:caps w:val="on"/>
                <w:color w:val="black"/>
                <w:sz w:val="18"/>
                <w:szCs w:val="18"/>
              </w:rPr>
            </w:pPr>
            <w:r>
              <w:rPr>
                <w:caps w:val="on"/>
                <w:color w:val="black"/>
                <w:sz w:val="18"/>
                <w:szCs w:val="18"/>
              </w:rPr>
              <w:t xml:space="preserve">AWW</w:t>
            </w:r>
          </w:p>
        </w:tc>
        <w:tc>
          <w:tcPr>
            <w:vMerge w:val="restart"/>
            <w:tcBorders>
              <w:top w:val="none" w:color="000000" w:sz="6" w:space="0"/>
              <w:left w:val="none" w:color="000000" w:sz="6" w:space="0"/>
              <w:bottom w:val="none" w:color="000000" w:sz="6" w:space="0"/>
              <w:right w:val="none" w:color="000000" w:sz="6" w:space="0"/>
            </w:tcBorders>
            <w:vAlign w:val="center"/>
          </w:tcPr>
          <w:p>
            <w:pPr>
              <w:rPr>
                <w:color w:val="000000"/>
                <w:sz w:val="22"/>
                <w:szCs w:val="22"/>
              </w:rPr>
            </w:pPr>
            <w:r>
              <w:rPr>
                <w:color w:val="000000"/>
                <w:sz w:val="22"/>
                <w:szCs w:val="22"/>
              </w:rPr>
              <w:t xml:space="preserve">Antiwitwas » Modellen en formulieren</w:t>
            </w:r>
          </w:p>
        </w:tc>
      </w:tr>
    </w:tbl>
    <w:p xmlns:w="http://schemas.openxmlformats.org/wordprocessingml/2006/main" xmlns:w14="http://schemas.microsoft.com/office/word/2010/wordml" w14:paraId="471E8723" w14:textId="77777777" w:rsidR="00523D2B" w:rsidRPr="00161314" w:rsidRDefault="00523D2B" w:rsidP="00545768">
      <w:pPr>
        <w:pStyle w:val="Geenafstand"/>
        <w:rPr>
          <w:noProof/>
        </w:rPr>
      </w:pPr>
    </w:p>
    <w:p xmlns:w="http://schemas.openxmlformats.org/wordprocessingml/2006/main">
      <w:pPr>
        <w:widowControl w:val="on"/>
      </w:pPr>
      <w:rPr>
        <w:color w:val=""/>
      </w:rPr>
      <w:r>
        <w:rPr>
          <w:b/>
          <w:bCs/>
          <w:color w:val=""/>
        </w:rPr>
        <w:t xml:space="preserve">De hieronder opgesomde risicofactoren worden, tenzij anders aangeduid, beschouwd als risicoverhogende factoren. De aanwezigheid, de frequentie en/of omvang van de betrokken bedragen van deze factoren verhoogt de blootstelling van het kantoor aan het WG/FT-risico.</w:t>
      </w:r>
    </w:p>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3.1.1 Risicofactoren in verband met het doel van de zakelijke relatie</w:t>
      </w:r>
    </w:p>
    <w:p xmlns:w="http://schemas.openxmlformats.org/wordprocessingml/2006/main">
      <w:pPr>
        <w:widowControl w:val="on"/>
      </w:pPr>
      <w:rPr>
        <w:color w:val=""/>
      </w:rPr>
      <w:r>
        <w:rPr>
          <w:i/>
          <w:iCs/>
          <w:color w:val=""/>
        </w:rPr>
        <w:t xml:space="preserve">Relevantie</w:t>
      </w:r>
    </w:p>
    <w:p xmlns:w="http://schemas.openxmlformats.org/wordprocessingml/2006/main">
      <w:pPr>
        <w:widowControl w:val="on"/>
      </w:pPr>
      <w:rPr>
        <w:color w:val=""/>
      </w:rPr>
      <w:r>
        <w:rPr>
          <w:color w:val=""/>
        </w:rPr>
        <w:t xml:space="preserve">NEEN= komt in het geheel niet voor</w:t>
      </w:r>
    </w:p>
    <w:p xmlns:w="http://schemas.openxmlformats.org/wordprocessingml/2006/main">
      <w:pPr>
        <w:widowControl w:val="on"/>
      </w:pPr>
      <w:rPr>
        <w:color w:val=""/>
      </w:rPr>
      <w:r>
        <w:rPr>
          <w:color w:val=""/>
        </w:rPr>
        <w:t xml:space="preserve">JA = komt wel voor</w:t>
      </w:r>
    </w:p>
    <w:p xmlns:w="http://schemas.openxmlformats.org/wordprocessingml/2006/main">
      <w:pPr>
        <w:widowControl w:val="on"/>
      </w:pPr>
      <w:rPr>
        <w:color w:val=""/>
      </w:rPr>
      <w:r>
        <w:rPr>
          <w:i/>
          <w:iCs/>
          <w:color w:val=""/>
        </w:rPr>
        <w:t xml:space="preserve">Risiconiveau:</w:t>
      </w:r>
      <w:r>
        <w:rPr>
          <w:color w:val=""/>
        </w:rPr>
        <w:t xml:space="preserve"> hoe meer het voorkomt hoe hoger het risico.: LAAG (in geval van neen), STANDAARD (occassioneel/beperkte omvang), HOOG (regelmatig)</w:t>
      </w:r>
    </w:p>
    <w:p xmlns:w="http://schemas.openxmlformats.org/wordprocessingml/2006/main">
      <w:pPr>
        <w:widowControl w:val="on"/>
      </w:pPr>
      <w:rPr>
        <w:color w:val=""/>
      </w:rPr>
      <w:r>
        <w:rPr>
          <w:i/>
          <w:iCs/>
          <w:color w:val=""/>
        </w:rPr>
        <w:t xml:space="preserve">Verantwoording:</w:t>
      </w:r>
      <w:r>
        <w:rPr>
          <w:color w:val=""/>
        </w:rPr>
        <w:t xml:space="preserve"> dit is erg belangrijk, omdat de algemene risicobeoordeling moet worden gedocumenteerd en moet worden gerechtvaardigd tegenover de toezichtautoriteit. Dit zal het ook gemakkelijker maken om de periodieke herziening en actualisering van de risico beoordeling uit te voeren.</w:t>
      </w:r>
    </w:p>
    <w:tbl xmlns:w="http://schemas.openxmlformats.org/wordprocessingml/2006/main">
      <w:tblPr>
        <w:tblStyle w:val="NormalTablePHPDOCX"/>
        <w:tblW w:w="0" w:type="auto"/>
      </w:tblPr>
      <w:tblGrid>
        <w:gridCol w:w="4695"/>
        <w:gridCol w:w="1500"/>
        <w:gridCol w:w="1650"/>
        <w:gridCol w:w="1455"/>
        <w:gridCol/>
      </w:tblGrid>
      <w:tr>
        <w:trPr>
          <w:trHeight w:val="0" w:hRule="atLeast"/>
        </w:trPr>
        <w:tc>
          <w:tcPr>
            <w:tcW w:w="4695" w:type="dxa"/>
            <w:tcBorders>
              <w:top w:val="single" w:color="000000" w:sz="5"/>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0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Relevantie</w:t>
            </w:r>
          </w:p>
        </w:tc>
        <w:tc>
          <w:tcPr>
            <w:tcW w:w="165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Risiconiveau</w:t>
            </w:r>
          </w:p>
        </w:tc>
        <w:tc>
          <w:tcPr>
            <w:tcW w:w="145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Verantwoording</w:t>
            </w:r>
          </w:p>
        </w:tc>
      </w:tr>
      <w:tr>
        <w:trPr>
          <w:trHeight w:val="0" w:hRule="atLeast"/>
        </w:trPr>
        <w:tc>
          <w:tcPr>
            <w:tcW w:w="4695"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Krijgt het kantoor vragen tot fiscaal-financieel advies met als doel vermogen te verbergen?</w:t>
            </w:r>
          </w:p>
        </w:tc>
        <w:tc>
          <w:tcPr>
            <w:tcW w:w="150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5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695"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Krijgt het kantoor vragen tot het opzetten van complexe vennootschapsstructuren ?</w:t>
            </w:r>
          </w:p>
        </w:tc>
        <w:tc>
          <w:tcPr>
            <w:tcW w:w="150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5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695"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Krijgt het kantoor opdrachten in verband met koop verkoop van onroerende goederen?</w:t>
            </w:r>
          </w:p>
        </w:tc>
        <w:tc>
          <w:tcPr>
            <w:tcW w:w="150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5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695"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Krijgt het kantoor vragen om bijstand te geven bij financiële verrichtingen zoals verrichten van betalingen, aandelen te kopen/verkopen, wisseloperaties uit te voeren ?</w:t>
            </w:r>
          </w:p>
        </w:tc>
        <w:tc>
          <w:tcPr>
            <w:tcW w:w="150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5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695"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Krijgt het kantoor vragen van cliënten hen aan te brengen bij financiële instellingen ?</w:t>
            </w:r>
          </w:p>
        </w:tc>
        <w:tc>
          <w:tcPr>
            <w:tcW w:w="150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5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3.1.2 Risicofactoren in verband met de omvang van de activa die door een cliënt worden gedeponeerd of de omvang van de gesloten verrichtingen</w:t>
      </w:r>
    </w:p>
    <w:p xmlns:w="http://schemas.openxmlformats.org/wordprocessingml/2006/main">
      <w:pPr>
        <w:widowControl w:val="on"/>
      </w:pPr>
      <w:rPr>
        <w:color w:val=""/>
      </w:rPr>
      <w:r>
        <w:rPr>
          <w:i/>
          <w:iCs/>
          <w:color w:val=""/>
        </w:rPr>
        <w:t xml:space="preserve">Relevantie</w:t>
      </w:r>
    </w:p>
    <w:p xmlns:w="http://schemas.openxmlformats.org/wordprocessingml/2006/main">
      <w:pPr>
        <w:widowControl w:val="on"/>
      </w:pPr>
      <w:rPr>
        <w:color w:val=""/>
      </w:rPr>
      <w:r>
        <w:rPr>
          <w:color w:val=""/>
        </w:rPr>
        <w:t xml:space="preserve">NEEN= komt in het geheel niet voor</w:t>
      </w:r>
    </w:p>
    <w:p xmlns:w="http://schemas.openxmlformats.org/wordprocessingml/2006/main">
      <w:pPr>
        <w:widowControl w:val="on"/>
      </w:pPr>
      <w:rPr>
        <w:color w:val=""/>
      </w:rPr>
      <w:r>
        <w:rPr>
          <w:color w:val=""/>
        </w:rPr>
        <w:t xml:space="preserve">JA = komt wel voor</w:t>
      </w:r>
    </w:p>
    <w:p xmlns:w="http://schemas.openxmlformats.org/wordprocessingml/2006/main">
      <w:pPr>
        <w:widowControl w:val="on"/>
      </w:pPr>
      <w:rPr>
        <w:color w:val=""/>
      </w:rPr>
      <w:r>
        <w:rPr>
          <w:i/>
          <w:iCs/>
          <w:color w:val=""/>
        </w:rPr>
        <w:t xml:space="preserve">Risiconiveau:</w:t>
      </w:r>
      <w:r>
        <w:rPr>
          <w:color w:val=""/>
        </w:rPr>
        <w:t xml:space="preserve"> hoe meer het voorkomt hoe hoger het risico.: LAAG (in geval van neen), STANDAARD (occassioneel/beperkte omvang), HOOG (regelmatig)</w:t>
      </w:r>
    </w:p>
    <w:p xmlns:w="http://schemas.openxmlformats.org/wordprocessingml/2006/main">
      <w:pPr>
        <w:widowControl w:val="on"/>
      </w:pPr>
      <w:rPr>
        <w:color w:val=""/>
      </w:rPr>
      <w:r>
        <w:rPr>
          <w:i/>
          <w:iCs/>
          <w:color w:val=""/>
        </w:rPr>
        <w:t xml:space="preserve">Verantwoording:</w:t>
      </w:r>
      <w:r>
        <w:rPr>
          <w:color w:val=""/>
        </w:rPr>
        <w:t xml:space="preserve"> dit is erg belangrijk, omdat de algemene risicobeoordeling moet worden gedocumenteerd en moet worden gerechtvaardigd tegenover de toezichtautoriteit. Dit zal het ook gemakkelijker maken om de periodieke herziening en actualisering van de risico beoordeling uit te voeren.</w:t>
      </w:r>
    </w:p>
    <w:tbl xmlns:w="http://schemas.openxmlformats.org/wordprocessingml/2006/main">
      <w:tblPr>
        <w:tblStyle w:val="NormalTablePHPDOCX"/>
        <w:tblW w:w="0" w:type="auto"/>
      </w:tblPr>
      <w:tblGrid>
        <w:gridCol w:w="5670"/>
        <w:gridCol w:w="1155"/>
      </w:tblGrid>
      <w:tr>
        <w:trPr>
          <w:trHeight w:val="0" w:hRule="atLeast"/>
        </w:trPr>
        <w:tc>
          <w:tcPr>
            <w:tcW w:w="5670" w:type="dxa"/>
            <w:tcBorders>
              <w:top w:val="single" w:color="000000" w:sz="5"/>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c>
          <w:tcPr>
            <w:tcW w:w="115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Relevantie</w:t>
            </w:r>
          </w:p>
        </w:tc>
        <w:tc>
          <w:tcPr>
            <w:tcW w:w="135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Risiconiveau</w:t>
            </w:r>
          </w:p>
        </w:tc>
        <w:tc>
          <w:tcPr>
            <w:tcW w:w="109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Verantwoording</w:t>
            </w:r>
          </w:p>
        </w:tc>
      </w:tr>
      <w:tr>
        <w:trPr>
          <w:trHeight w:val="0" w:hRule="atLeast"/>
        </w:trPr>
        <w:tc>
          <w:tcPr>
            <w:tcW w:w="5670"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Krijgt het kantoor vragen om grote bedragen in ontvangst te nemen, al dan niet op een derdenrekening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3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09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3.1.3 Risicofactoren in verband met de regelmaat of duur van de zakelijke relatie.</w:t>
      </w:r>
    </w:p>
    <w:p xmlns:w="http://schemas.openxmlformats.org/wordprocessingml/2006/main">
      <w:pPr>
        <w:widowControl w:val="on"/>
      </w:pPr>
      <w:rPr>
        <w:color w:val=""/>
      </w:rPr>
      <w:r>
        <w:rPr>
          <w:color w:val=""/>
        </w:rPr>
        <w:t xml:space="preserve">De eenmaligheid of het hoogdringend karakter van een opdracht wordt in het algemeen beschouwd als een risicoverhogende factor wegens mogelijks onvoldoende mogelijkheid om voldoende inzicht te verwerven in de cliënt en/of verrichtingen.</w:t>
      </w:r>
    </w:p>
    <w:p xmlns:w="http://schemas.openxmlformats.org/wordprocessingml/2006/main">
      <w:pPr>
        <w:widowControl w:val="on"/>
      </w:pPr>
      <w:rPr>
        <w:color w:val=""/>
      </w:rPr>
      <w:r>
        <w:rPr>
          <w:i/>
          <w:iCs/>
          <w:color w:val=""/>
        </w:rPr>
        <w:t xml:space="preserve">Relevantie</w:t>
      </w:r>
    </w:p>
    <w:p xmlns:w="http://schemas.openxmlformats.org/wordprocessingml/2006/main">
      <w:pPr>
        <w:widowControl w:val="on"/>
      </w:pPr>
      <w:rPr>
        <w:color w:val=""/>
      </w:rPr>
      <w:r>
        <w:rPr>
          <w:color w:val=""/>
        </w:rPr>
        <w:t xml:space="preserve">NEEN= komt in het geheel niet voor</w:t>
      </w:r>
    </w:p>
    <w:p xmlns:w="http://schemas.openxmlformats.org/wordprocessingml/2006/main">
      <w:pPr>
        <w:widowControl w:val="on"/>
      </w:pPr>
      <w:rPr>
        <w:color w:val=""/>
      </w:rPr>
      <w:r>
        <w:rPr>
          <w:color w:val=""/>
        </w:rPr>
        <w:t xml:space="preserve">JA = komt wel voor</w:t>
      </w:r>
    </w:p>
    <w:p xmlns:w="http://schemas.openxmlformats.org/wordprocessingml/2006/main">
      <w:pPr>
        <w:widowControl w:val="on"/>
      </w:pPr>
      <w:rPr>
        <w:color w:val=""/>
      </w:rPr>
      <w:r>
        <w:rPr>
          <w:i/>
          <w:iCs/>
          <w:color w:val=""/>
        </w:rPr>
        <w:t xml:space="preserve">Risiconiveau:</w:t>
      </w:r>
      <w:r>
        <w:rPr>
          <w:color w:val=""/>
        </w:rPr>
        <w:t xml:space="preserve"> hoe meer het voorkomt hoe hoger het risico.: LAAG (in geval van neen), STANDAARD (occassioneel/beperkte omvang), HOOG (regelmatig)</w:t>
      </w:r>
    </w:p>
    <w:p xmlns:w="http://schemas.openxmlformats.org/wordprocessingml/2006/main">
      <w:pPr>
        <w:widowControl w:val="on"/>
      </w:pPr>
      <w:rPr>
        <w:color w:val=""/>
      </w:rPr>
      <w:r>
        <w:rPr>
          <w:i/>
          <w:iCs/>
          <w:color w:val=""/>
        </w:rPr>
        <w:t xml:space="preserve">Verantwoording:</w:t>
      </w:r>
      <w:r>
        <w:rPr>
          <w:color w:val=""/>
        </w:rPr>
        <w:t xml:space="preserve"> dit is erg belangrijk, omdat de algemene risicobeoordeling moet worden gedocumenteerd en moet worden gerechtvaardigd tegenover de toezichtautoriteit. Dit zal het ook gemakkelijker maken om de periodieke herziening en actualisering van de risico beoordeling uit te voeren.</w:t>
      </w:r>
    </w:p>
    <w:tbl xmlns:w="http://schemas.openxmlformats.org/wordprocessingml/2006/main">
      <w:tblPr>
        <w:tblStyle w:val="NormalTablePHPDOCX"/>
        <w:tblW w:w="0" w:type="auto"/>
      </w:tblPr>
      <w:tblGrid>
        <w:gridCol w:w="3390"/>
        <w:gridCol w:w="1485"/>
        <w:gridCol w:w="2310"/>
      </w:tblGrid>
      <w:tr>
        <w:trPr>
          <w:trHeight w:val="0" w:hRule="atLeast"/>
        </w:trPr>
        <w:tc>
          <w:tcPr>
            <w:tcW w:w="3390" w:type="dxa"/>
            <w:tcBorders>
              <w:top w:val="single" w:color="000000" w:sz="5"/>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c>
          <w:tcPr>
            <w:tcW w:w="148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Relevantie</w:t>
            </w:r>
          </w:p>
        </w:tc>
        <w:tc>
          <w:tcPr>
            <w:tcW w:w="231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Risiconiveau</w:t>
            </w:r>
          </w:p>
        </w:tc>
        <w:tc>
          <w:tcPr>
            <w:tcW w:w="210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Verantwoording</w:t>
            </w:r>
          </w:p>
        </w:tc>
      </w:tr>
      <w:tr>
        <w:trPr>
          <w:trHeight w:val="0" w:hRule="atLeast"/>
        </w:trPr>
        <w:tc>
          <w:tcPr>
            <w:tcW w:w="3390"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Krijgt het kantoor veel te maken met éénmalige opdrachten ?</w:t>
            </w:r>
          </w:p>
        </w:tc>
        <w:tc>
          <w:tcPr>
            <w:tcW w:w="148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3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10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3390"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Krijgt het kantoor veel te maken hoogdringende opdrachten ?</w:t>
            </w:r>
          </w:p>
        </w:tc>
        <w:tc>
          <w:tcPr>
            <w:tcW w:w="148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3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10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bl>
    <w:p xmlns:w="http://schemas.openxmlformats.org/wordprocessingml/2006/main">
      <w:pPr>
        <w:widowControl w:val="on"/>
      </w:pPr>
      <w:rPr>
        <w:color w:val=""/>
      </w:rPr>
      <w:r>
        <w:rPr>
          <w:color w:val=""/>
        </w:rPr>
        <w:t xml:space="preserve">Het gegeven dat een zakelijke relatie zich op lange termijn afspeelt wordt in het algemeen beschouwd als een risicoverlagende factor daar er voldoende tijd is om inzicht te verwerven in cliënt en/of verrichtingen</w:t>
      </w:r>
      <w:r>
        <w:rPr>
          <w:i/>
          <w:iCs/>
          <w:color w:val=""/>
        </w:rPr>
        <w:br/>
        <w:t xml:space="preserve">Relevantie</w:t>
      </w:r>
    </w:p>
    <w:p xmlns:w="http://schemas.openxmlformats.org/wordprocessingml/2006/main">
      <w:pPr>
        <w:widowControl w:val="on"/>
      </w:pPr>
      <w:rPr>
        <w:color w:val=""/>
      </w:rPr>
      <w:r>
        <w:rPr>
          <w:color w:val=""/>
        </w:rPr>
        <w:t xml:space="preserve">NEEN= komt in het geheel niet voor (= enkel opdrachten op korte termijn)</w:t>
      </w:r>
    </w:p>
    <w:p xmlns:w="http://schemas.openxmlformats.org/wordprocessingml/2006/main">
      <w:pPr>
        <w:widowControl w:val="on"/>
      </w:pPr>
      <w:rPr>
        <w:color w:val=""/>
      </w:rPr>
      <w:r>
        <w:rPr>
          <w:color w:val=""/>
        </w:rPr>
        <w:t xml:space="preserve">JA = komt wel voor</w:t>
      </w:r>
    </w:p>
    <w:p xmlns:w="http://schemas.openxmlformats.org/wordprocessingml/2006/main">
      <w:pPr>
        <w:widowControl w:val="on"/>
      </w:pPr>
      <w:rPr>
        <w:color w:val=""/>
      </w:rPr>
      <w:r>
        <w:rPr>
          <w:i/>
          <w:iCs/>
          <w:color w:val=""/>
        </w:rPr>
        <w:t xml:space="preserve">Risiconiveau:</w:t>
      </w:r>
      <w:r>
        <w:rPr>
          <w:color w:val=""/>
        </w:rPr>
        <w:t xml:space="preserve"> hoe meer het voorkomt dat een zakelijke relatie zich op lange termijn afspeelt hoe lager in dit geval het risico.: LAAG (in geval van JA) STANDAARD (occasioneel/beperkte omvang), HOOG (regelmatig:)</w:t>
      </w:r>
    </w:p>
    <w:p xmlns:w="http://schemas.openxmlformats.org/wordprocessingml/2006/main">
      <w:pPr>
        <w:widowControl w:val="on"/>
      </w:pPr>
      <w:rPr>
        <w:color w:val=""/>
      </w:rPr>
      <w:r>
        <w:rPr>
          <w:i/>
          <w:iCs/>
          <w:color w:val=""/>
        </w:rPr>
        <w:t xml:space="preserve">Verantwoording:</w:t>
      </w:r>
      <w:r>
        <w:rPr>
          <w:color w:val=""/>
        </w:rPr>
        <w:t xml:space="preserve"> Dit is erg belangrijk, omdat de algemene risicobeoordeling moet worden gedocumenteerd en moet worden gerechtvaardigd tegenover de toezichtautoriteit. Dit zal het ook gemakkelijker maken om de periodieke herziening en actualisering van de risico beoordeling uit te voeren.</w:t>
      </w:r>
    </w:p>
    <w:tbl xmlns:w="http://schemas.openxmlformats.org/wordprocessingml/2006/main">
      <w:tblPr>
        <w:tblStyle w:val="NormalTablePHPDOCX"/>
        <w:tblW w:w="0" w:type="auto"/>
      </w:tblPr>
      <w:tblGrid>
        <w:gridCol w:w="4155"/>
        <w:gridCol w:w="1155"/>
      </w:tblGrid>
      <w:tr>
        <w:trPr>
          <w:trHeight w:val="0" w:hRule="atLeast"/>
        </w:trPr>
        <w:tc>
          <w:tcPr>
            <w:tcW w:w="4155" w:type="dxa"/>
            <w:tcBorders>
              <w:top w:val="single" w:color="000000" w:sz="5"/>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c>
          <w:tcPr>
            <w:tcW w:w="115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Relevantie</w:t>
            </w:r>
          </w:p>
        </w:tc>
        <w:tc>
          <w:tcPr>
            <w:tcW w:w="204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Risiconiveau</w:t>
            </w:r>
          </w:p>
        </w:tc>
        <w:tc>
          <w:tcPr>
            <w:tcW w:w="193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Verantwoording</w:t>
            </w:r>
          </w:p>
        </w:tc>
      </w:tr>
      <w:tr>
        <w:trPr>
          <w:trHeight w:val="0" w:hRule="atLeast"/>
        </w:trPr>
        <w:tc>
          <w:tcPr>
            <w:tcW w:w="4155"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Zijn de zakelijke relaties vooral op de lange termijn gericht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04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93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3.1.4 Risicofactoren in verband met de sectoren waarin onze cliënten actief zijn</w:t>
      </w:r>
    </w:p>
    <w:p xmlns:w="http://schemas.openxmlformats.org/wordprocessingml/2006/main">
      <w:pPr>
        <w:widowControl w:val="on"/>
      </w:pPr>
      <w:rPr>
        <w:color w:val=""/>
      </w:rPr>
      <w:r>
        <w:rPr>
          <w:color w:val=""/>
        </w:rPr>
        <w:t xml:space="preserve">Ons kantoor heeft cliënten in volgende sectoren die mogelijk een hoger risico op WG/FT inhouden. Onderstaande lijst werd opgemaakt op basis van gegevens uit de jaarverslagen en nationale risicoanalyse van de CFI.</w:t>
      </w:r>
    </w:p>
    <w:tbl xmlns:w="http://schemas.openxmlformats.org/wordprocessingml/2006/main">
      <w:tblPr>
        <w:tblStyle w:val="NormalTablePHPDOCX"/>
        <w:tblW w:w="0" w:type="auto"/>
      </w:tblPr>
      <w:tblGrid>
        <w:gridCol w:w="6780"/>
        <w:gridCol w:w="1110"/>
        <w:gridCol w:w="1155"/>
        <w:gridCol/>
      </w:tblGrid>
      <w:tr>
        <w:trPr>
          <w:trHeight w:val="0" w:hRule="atLeast"/>
        </w:trPr>
        <w:tc>
          <w:tcPr>
            <w:tcW w:w="6780" w:type="dxa"/>
            <w:tcBorders>
              <w:top w:val="single" w:color="000000" w:sz="5"/>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Handelaars in goud en edele metalen</w:t>
            </w:r>
          </w:p>
        </w:tc>
        <w:tc>
          <w:tcPr>
            <w:tcW w:w="1110" w:type="dxa"/>
            <w:tcBorders>
              <w:top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top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Import-/Exportbedrijven</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Juweliers en horlogemakers</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Bedrijfsadviseurs en dienstverleners van beleggingsdiensten</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Bouwbedrijven</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Handelaars in tweedehandsvoertuigen</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Diamantairs</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Geldkoeriers (fysiek, grensoverschrijdend transport van contanten)</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Makelaars</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Handelaars in alcohol en tabak</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Dienstverleners horeca</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Handelaars in telefoonkaarten en nachtwinkels</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Wisselkantoren / betalingsinstellingen</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r>
        <w:trPr>
          <w:trHeight w:val="0" w:hRule="atLeast"/>
        </w:trPr>
        <w:tc>
          <w:tcPr>
            <w:tcW w:w="678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Cliënten met banden met landen met een hoog risico</w:t>
            </w:r>
          </w:p>
        </w:tc>
        <w:tc>
          <w:tcPr>
            <w:tcW w:w="11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15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3.1.5 Cliëntgebonden risicofactoren</w:t>
      </w:r>
    </w:p>
    <w:p xmlns:w="http://schemas.openxmlformats.org/wordprocessingml/2006/main">
      <w:pPr>
        <w:widowControl w:val="on"/>
      </w:pPr>
      <w:rPr>
        <w:color w:val=""/>
      </w:rPr>
      <w:r>
        <w:rPr>
          <w:i/>
          <w:iCs/>
          <w:color w:val=""/>
        </w:rPr>
        <w:t xml:space="preserve">Relevantie</w:t>
      </w:r>
    </w:p>
    <w:p xmlns:w="http://schemas.openxmlformats.org/wordprocessingml/2006/main">
      <w:pPr>
        <w:widowControl w:val="on"/>
      </w:pPr>
      <w:rPr>
        <w:color w:val=""/>
      </w:rPr>
      <w:r>
        <w:rPr>
          <w:color w:val=""/>
        </w:rPr>
        <w:t xml:space="preserve">NEEN= komt in het geheel niet voor</w:t>
      </w:r>
    </w:p>
    <w:p xmlns:w="http://schemas.openxmlformats.org/wordprocessingml/2006/main">
      <w:pPr>
        <w:widowControl w:val="on"/>
      </w:pPr>
      <w:rPr>
        <w:color w:val=""/>
      </w:rPr>
      <w:r>
        <w:rPr>
          <w:color w:val=""/>
        </w:rPr>
        <w:t xml:space="preserve">JA = komt wel voor</w:t>
      </w:r>
    </w:p>
    <w:p xmlns:w="http://schemas.openxmlformats.org/wordprocessingml/2006/main">
      <w:pPr>
        <w:widowControl w:val="on"/>
      </w:pPr>
      <w:rPr>
        <w:color w:val=""/>
      </w:rPr>
      <w:r>
        <w:rPr>
          <w:i/>
          <w:iCs/>
          <w:color w:val=""/>
        </w:rPr>
        <w:t xml:space="preserve">Risiconiveau:</w:t>
      </w:r>
      <w:r>
        <w:rPr>
          <w:color w:val=""/>
        </w:rPr>
        <w:t xml:space="preserve"> hoe meer het voorkomt hoe hoger het risico.: LAAG (in geval van neen), STANDAARD (occassioneel/beperkte omvang), HOOG (regelmatig)</w:t>
      </w:r>
    </w:p>
    <w:p xmlns:w="http://schemas.openxmlformats.org/wordprocessingml/2006/main">
      <w:pPr>
        <w:widowControl w:val="on"/>
      </w:pPr>
      <w:rPr>
        <w:color w:val=""/>
      </w:rPr>
      <w:r>
        <w:rPr>
          <w:i/>
          <w:iCs/>
          <w:color w:val=""/>
        </w:rPr>
        <w:t xml:space="preserve">Verantwoording:</w:t>
      </w:r>
      <w:r>
        <w:rPr>
          <w:color w:val=""/>
        </w:rPr>
        <w:t xml:space="preserve"> dit is erg belangrijk, omdat de algemene risicobeoordeling moet worden gedocumenteerd en moet worden gerechtvaardigd tegenover de toezichtautoriteit. Dit zal het ook gemakkelijker maken om de periodieke herziening en actualisering van de risico beoordeling uit te voeren.</w:t>
      </w:r>
    </w:p>
    <w:tbl xmlns:w="http://schemas.openxmlformats.org/wordprocessingml/2006/main" xmlns:r="http://schemas.openxmlformats.org/officeDocument/2006/relationships">
      <w:tblPr>
        <w:tblStyle w:val="NormalTablePHPDOCX"/>
        <w:tblW w:w="0" w:type="auto"/>
      </w:tblPr>
      <w:tblGrid>
        <w:gridCol w:w="4800"/>
        <w:gridCol w:w="1260"/>
        <w:gridCol w:w="1665"/>
        <w:gridCol w:w="1560"/>
        <w:gridCol/>
      </w:tblGrid>
      <w:tr>
        <w:trPr>
          <w:trHeight w:val="0" w:hRule="atLeast"/>
        </w:trPr>
        <w:tc>
          <w:tcPr>
            <w:tcW w:w="4800" w:type="dxa"/>
            <w:tcBorders>
              <w:top w:val="single" w:color="000000" w:sz="5"/>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c>
          <w:tcPr>
            <w:tcW w:w="126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Relevantie</w:t>
            </w:r>
          </w:p>
        </w:tc>
        <w:tc>
          <w:tcPr>
            <w:tcW w:w="166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Risiconiveau</w:t>
            </w:r>
          </w:p>
        </w:tc>
        <w:tc>
          <w:tcPr>
            <w:tcW w:w="156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Verantwoording</w:t>
            </w:r>
          </w:p>
        </w:tc>
      </w:tr>
      <w:tr>
        <w:trPr>
          <w:trHeight w:val="0" w:hRule="atLeast"/>
        </w:trPr>
        <w:tc>
          <w:tcPr>
            <w:tcW w:w="480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zakelijke relaties die plaatsvinden in ongebruikelijke omstandigheden ?</w:t>
            </w:r>
          </w:p>
        </w:tc>
        <w:tc>
          <w:tcPr>
            <w:tcW w:w="126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6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6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80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als cliënt personen die inwoner zijn van </w:t>
            </w:r>
            <w:hyperlink r:id="rId77486739b9cc83c8b" w:history="1">
              <w:r>
                <w:rPr>
                  <w:color w:val="0000CC"/>
                  <w:position w:val="0"/>
                  <w:u w:val="single"/>
                </w:rPr>
                <w:t xml:space="preserve">geografische gebieden met een hoog risico</w:t>
              </w:r>
            </w:hyperlink>
            <w:r>
              <w:rPr>
                <w:color w:val=""/>
                <w:position w:val="0"/>
              </w:rPr>
              <w:t xml:space="preserve">  of daar zaken mee doen ?</w:t>
            </w:r>
          </w:p>
        </w:tc>
        <w:tc>
          <w:tcPr>
            <w:tcW w:w="126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6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6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80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als cliënt rechtspersonen of juridische constructies die vehikels zijn voor het aanhouden van persoonlijke activa?</w:t>
            </w:r>
          </w:p>
        </w:tc>
        <w:tc>
          <w:tcPr>
            <w:tcW w:w="126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6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6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80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als cliënt vennootschappen met gevolmachtigde aandeelhouders ("shareholders") of met aandelen aan toonder ?</w:t>
            </w:r>
          </w:p>
        </w:tc>
        <w:tc>
          <w:tcPr>
            <w:tcW w:w="126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6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6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80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als cliënt bedrijven waar veel geldverkeer in contanten plaatsvindt?</w:t>
            </w:r>
          </w:p>
        </w:tc>
        <w:tc>
          <w:tcPr>
            <w:tcW w:w="126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6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6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80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als cliënt ondernemingen met een complexe eigendomsstructuur ?</w:t>
            </w:r>
          </w:p>
        </w:tc>
        <w:tc>
          <w:tcPr>
            <w:tcW w:w="126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6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6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80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cliënten die actief zijn in sectoren met een hoog risico (zie 20.3)</w:t>
            </w:r>
          </w:p>
        </w:tc>
        <w:tc>
          <w:tcPr>
            <w:tcW w:w="126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6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6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3.1.6 Risicofactoren in verband met de door het kantoor/netwerk aangeboden diensten</w:t>
      </w:r>
    </w:p>
    <w:p xmlns:w="http://schemas.openxmlformats.org/wordprocessingml/2006/main">
      <w:pPr>
        <w:widowControl w:val="on"/>
      </w:pPr>
      <w:rPr>
        <w:color w:val=""/>
      </w:rPr>
      <w:r>
        <w:rPr>
          <w:i/>
          <w:iCs/>
          <w:color w:val=""/>
        </w:rPr>
        <w:t xml:space="preserve">Relevantie</w:t>
      </w:r>
    </w:p>
    <w:p xmlns:w="http://schemas.openxmlformats.org/wordprocessingml/2006/main">
      <w:pPr>
        <w:widowControl w:val="on"/>
      </w:pPr>
      <w:rPr>
        <w:color w:val=""/>
      </w:rPr>
      <w:r>
        <w:rPr>
          <w:color w:val=""/>
        </w:rPr>
        <w:t xml:space="preserve">NEEN= komt in het geheel niet voor</w:t>
      </w:r>
    </w:p>
    <w:p xmlns:w="http://schemas.openxmlformats.org/wordprocessingml/2006/main">
      <w:pPr>
        <w:widowControl w:val="on"/>
      </w:pPr>
      <w:rPr>
        <w:color w:val=""/>
      </w:rPr>
      <w:r>
        <w:rPr>
          <w:color w:val=""/>
        </w:rPr>
        <w:t xml:space="preserve">JA = komt wel voor</w:t>
      </w:r>
    </w:p>
    <w:p xmlns:w="http://schemas.openxmlformats.org/wordprocessingml/2006/main">
      <w:pPr>
        <w:widowControl w:val="on"/>
      </w:pPr>
      <w:rPr>
        <w:color w:val=""/>
      </w:rPr>
      <w:r>
        <w:rPr>
          <w:i/>
          <w:iCs/>
          <w:color w:val=""/>
        </w:rPr>
        <w:t xml:space="preserve">Risiconiveau:</w:t>
      </w:r>
      <w:r>
        <w:rPr>
          <w:color w:val=""/>
        </w:rPr>
        <w:t xml:space="preserve"> hoe meer het voorkomt hoe hoger het risico.: LAAG (in geval van neen), STANDAARD (occassioneel/beperkte omvang), HOOG (regelmatig)</w:t>
      </w:r>
    </w:p>
    <w:p xmlns:w="http://schemas.openxmlformats.org/wordprocessingml/2006/main">
      <w:pPr>
        <w:widowControl w:val="on"/>
      </w:pPr>
      <w:rPr>
        <w:color w:val=""/>
      </w:rPr>
      <w:r>
        <w:rPr>
          <w:i/>
          <w:iCs/>
          <w:color w:val=""/>
        </w:rPr>
        <w:t xml:space="preserve">Verantwoording:</w:t>
      </w:r>
      <w:r>
        <w:rPr>
          <w:color w:val=""/>
        </w:rPr>
        <w:t xml:space="preserve"> dit is erg belangrijk, omdat de algemene risicobeoordeling moet worden gedocumenteerd en moet worden gerechtvaardigd tegenover de toezichtautoriteit. Dit zal het ook gemakkelijker maken om de periodieke herziening en actualisering van de risico beoordeling uit te voeren.</w:t>
      </w:r>
    </w:p>
    <w:tbl xmlns:w="http://schemas.openxmlformats.org/wordprocessingml/2006/main">
      <w:tblPr>
        <w:tblStyle w:val="NormalTablePHPDOCX"/>
        <w:tblW w:w="0" w:type="auto"/>
      </w:tblPr>
      <w:tblGrid>
        <w:gridCol w:w="4590"/>
        <w:gridCol w:w="1350"/>
        <w:gridCol w:w="1500"/>
        <w:gridCol w:w="1620"/>
        <w:gridCol/>
      </w:tblGrid>
      <w:tr>
        <w:trPr>
          <w:trHeight w:val="0" w:hRule="atLeast"/>
        </w:trPr>
        <w:tc>
          <w:tcPr>
            <w:tcW w:w="4590" w:type="dxa"/>
            <w:tcBorders>
              <w:top w:val="single" w:color="000000" w:sz="5"/>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c>
          <w:tcPr>
            <w:tcW w:w="135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Relevantie</w:t>
            </w:r>
          </w:p>
        </w:tc>
        <w:tc>
          <w:tcPr>
            <w:tcW w:w="150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Risiconiveau</w:t>
            </w:r>
          </w:p>
        </w:tc>
        <w:tc>
          <w:tcPr>
            <w:tcW w:w="162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Verantwoording</w:t>
            </w:r>
          </w:p>
        </w:tc>
      </w:tr>
      <w:tr>
        <w:trPr>
          <w:trHeight w:val="0" w:hRule="atLeast"/>
        </w:trPr>
        <w:tc>
          <w:tcPr>
            <w:tcW w:w="459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Worden er door het kantoor producten of verrichtingen die anonimiteit of verbergen van de identiteit bevorderen geleverd of gedaan?</w:t>
            </w:r>
          </w:p>
        </w:tc>
        <w:tc>
          <w:tcPr>
            <w:tcW w:w="13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0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2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59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zakelijke relaties op afstand of verrichtingen op afstand, zonder sommige garanties, zoals elektronische handtekeningen ?</w:t>
            </w:r>
          </w:p>
        </w:tc>
        <w:tc>
          <w:tcPr>
            <w:tcW w:w="13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0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2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59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Kan het kantoor betalingen ontvangen van onbekende of niet-verbonden derden ?</w:t>
            </w:r>
          </w:p>
        </w:tc>
        <w:tc>
          <w:tcPr>
            <w:tcW w:w="13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0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2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59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Ontwikkelt het kantoor nieuwe producten en nieuwe zakelijke praktijken, daaronder begrepen nieuwe leveringsmechanismen, en het gebruik van nieuwe of in ontwikkeling zijnde technologieën voor zowel nieuwe als reeds bestaande producten? </w:t>
            </w:r>
          </w:p>
        </w:tc>
        <w:tc>
          <w:tcPr>
            <w:tcW w:w="135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50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20"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3.1.7 Geografische risicofactoren met betrekking tot kantoor/netwerk</w:t>
      </w:r>
    </w:p>
    <w:p xmlns:w="http://schemas.openxmlformats.org/wordprocessingml/2006/main">
      <w:pPr>
        <w:widowControl w:val="on"/>
      </w:pPr>
      <w:rPr>
        <w:color w:val=""/>
      </w:rPr>
      <w:r>
        <w:rPr>
          <w:i/>
          <w:iCs/>
          <w:color w:val=""/>
        </w:rPr>
        <w:t xml:space="preserve">Relevantie</w:t>
      </w:r>
    </w:p>
    <w:p xmlns:w="http://schemas.openxmlformats.org/wordprocessingml/2006/main">
      <w:pPr>
        <w:widowControl w:val="on"/>
      </w:pPr>
      <w:rPr>
        <w:color w:val=""/>
      </w:rPr>
      <w:r>
        <w:rPr>
          <w:color w:val=""/>
        </w:rPr>
        <w:t xml:space="preserve">NEEN= komt in het geheel niet voor</w:t>
      </w:r>
    </w:p>
    <w:p xmlns:w="http://schemas.openxmlformats.org/wordprocessingml/2006/main">
      <w:pPr>
        <w:widowControl w:val="on"/>
      </w:pPr>
      <w:rPr>
        <w:color w:val=""/>
      </w:rPr>
      <w:r>
        <w:rPr>
          <w:color w:val=""/>
        </w:rPr>
        <w:t xml:space="preserve">JA = komt wel voor</w:t>
      </w:r>
    </w:p>
    <w:p xmlns:w="http://schemas.openxmlformats.org/wordprocessingml/2006/main">
      <w:pPr>
        <w:widowControl w:val="on"/>
      </w:pPr>
      <w:rPr>
        <w:color w:val=""/>
      </w:rPr>
      <w:r>
        <w:rPr>
          <w:i/>
          <w:iCs/>
          <w:color w:val=""/>
        </w:rPr>
        <w:t xml:space="preserve">Risiconiveau:</w:t>
      </w:r>
      <w:r>
        <w:rPr>
          <w:color w:val=""/>
        </w:rPr>
        <w:t xml:space="preserve"> hoe meer het voorkomt hoe hoger het risico.: LAAG (in geval van neen), STANDAARD (occassioneel/beperkte omvang), HOOG (regelmatig)</w:t>
      </w:r>
    </w:p>
    <w:p xmlns:w="http://schemas.openxmlformats.org/wordprocessingml/2006/main">
      <w:pPr>
        <w:widowControl w:val="on"/>
      </w:pPr>
      <w:rPr>
        <w:color w:val=""/>
      </w:rPr>
      <w:r>
        <w:rPr>
          <w:i/>
          <w:iCs/>
          <w:color w:val=""/>
        </w:rPr>
        <w:t xml:space="preserve">Verantwoording:</w:t>
      </w:r>
      <w:r>
        <w:rPr>
          <w:color w:val=""/>
        </w:rPr>
        <w:t xml:space="preserve"> dit is erg belangrijk, omdat de algemene risicobeoordeling moet worden gedocumenteerd en moet worden gerechtvaardigd tegenover de toezichtautoriteit. Dit zal het ook gemakkelijker maken om de periodieke herziening en actualisering van de risico beoordeling uit te voeren.</w:t>
      </w:r>
    </w:p>
    <w:tbl xmlns:w="http://schemas.openxmlformats.org/wordprocessingml/2006/main" xmlns:r="http://schemas.openxmlformats.org/officeDocument/2006/relationships">
      <w:tblPr>
        <w:tblStyle w:val="NormalTablePHPDOCX"/>
        <w:tblW w:w="0" w:type="auto"/>
      </w:tblPr>
      <w:tblGrid>
        <w:gridCol w:w="4260"/>
        <w:gridCol w:w="1275"/>
        <w:gridCol w:w="1410"/>
        <w:gridCol w:w="2235"/>
        <w:gridCol/>
      </w:tblGrid>
      <w:tr>
        <w:trPr>
          <w:trHeight w:val="0" w:hRule="atLeast"/>
        </w:trPr>
        <w:tc>
          <w:tcPr>
            <w:tcW w:w="4260" w:type="dxa"/>
            <w:tcBorders>
              <w:top w:val="single" w:color="000000" w:sz="5"/>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c>
          <w:tcPr>
            <w:tcW w:w="127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Relevantie</w:t>
            </w:r>
          </w:p>
        </w:tc>
        <w:tc>
          <w:tcPr>
            <w:tcW w:w="141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Risiconiveau</w:t>
            </w:r>
          </w:p>
        </w:tc>
        <w:tc>
          <w:tcPr>
            <w:tcW w:w="223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Verantwoording</w:t>
            </w:r>
          </w:p>
        </w:tc>
      </w:tr>
      <w:tr>
        <w:trPr>
          <w:trHeight w:val="0" w:hRule="atLeast"/>
        </w:trPr>
        <w:tc>
          <w:tcPr>
            <w:tcW w:w="426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activiteiten in landen, andere dan die bedoeld in </w:t>
            </w:r>
            <w:r>
              <w:rPr>
                <w:color w:val="0000CC"/>
                <w:position w:val="0"/>
                <w:u w:val="single"/>
              </w:rPr>
              <w:t xml:space="preserve">artikel 38 AWW</w:t>
            </w:r>
            <w:r>
              <w:rPr>
                <w:color w:val=""/>
                <w:position w:val="0"/>
              </w:rPr>
              <w:t xml:space="preserve">, die op basis van geloofwaardige bronnen zoals wederzijdse beoordelingen, gedetailleerde evaluatierapporten, of gepubliceerde follow-uprapporten, worden aangemerkt als een land zonder effectieve WG/FT-systemen? : zie : </w:t>
            </w:r>
            <w:hyperlink r:id="rId18676739b9cc852a0" w:history="1">
              <w:r>
                <w:rPr>
                  <w:color w:val="7030A0"/>
                  <w:position w:val="0"/>
                  <w:u w:val="single"/>
                </w:rPr>
                <w:t xml:space="preserve">https://financien.belgium.be/nl/landen-met-een-hoog-risico</w:t>
              </w:r>
            </w:hyperlink>
            <w:r>
              <w:rPr>
                <w:color w:val=""/>
                <w:position w:val="0"/>
              </w:rPr>
              <w:t xml:space="preserve">   </w:t>
            </w:r>
          </w:p>
        </w:tc>
        <w:tc>
          <w:tcPr>
            <w:tcW w:w="127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23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26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activiteiten in landen die volgens geloofwaardige bronnen significante niveaus van corruptie of andere criminele activiteit hebben?</w:t>
            </w:r>
          </w:p>
        </w:tc>
        <w:tc>
          <w:tcPr>
            <w:tcW w:w="127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23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26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activiteiten in landen waarvoor sancties, embargo's of soortgelijke maatregelen gelden die bijvoorbeeld door de Europese Unie of de Verenigde Naties zijn uitgevaardigd;? Zie : </w:t>
            </w:r>
            <w:hyperlink r:id="rId67606739b9cc857f6" w:history="1">
              <w:r>
                <w:rPr>
                  <w:color w:val="0000CC"/>
                  <w:position w:val="0"/>
                  <w:u w:val="single"/>
                </w:rPr>
                <w:t xml:space="preserve">https://financien.belgium.be/nl/thesaurie/financiele-sancties</w:t>
              </w:r>
            </w:hyperlink>
          </w:p>
        </w:tc>
        <w:tc>
          <w:tcPr>
            <w:tcW w:w="127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23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26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Heeft het kantoor activiteiten in landen die financiering of ondersteuning verschaffen voor terroristische activiteiten, of op het grondgebied waarvan als terroristisch aangemerkte organisaties actief zijn?</w:t>
            </w:r>
          </w:p>
        </w:tc>
        <w:tc>
          <w:tcPr>
            <w:tcW w:w="127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23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r>
        <w:trPr>
          <w:trHeight w:val="0" w:hRule="atLeast"/>
        </w:trPr>
        <w:tc>
          <w:tcPr>
            <w:tcW w:w="4260" w:type="dxa"/>
            <w:tcBorders>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Het kantoor maakt gebruik van derdezaakaanbrengers die actief zijn in een land met een hoger WG/FT risico</w:t>
            </w:r>
          </w:p>
        </w:tc>
        <w:tc>
          <w:tcPr>
            <w:tcW w:w="127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41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223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3.1.8 Risicofactoren in verband met de afstand bij het tot standkomen van de zakelijke relatie</w:t>
      </w:r>
    </w:p>
    <w:p xmlns:w="http://schemas.openxmlformats.org/wordprocessingml/2006/main">
      <w:pPr>
        <w:widowControl w:val="on"/>
      </w:pPr>
      <w:rPr>
        <w:color w:val=""/>
      </w:rPr>
      <w:r>
        <w:rPr>
          <w:color w:val=""/>
        </w:rPr>
        <w:t xml:space="preserve">Bij het identificeren van het risico dat is verbonden aan de manier waarop de cliënt de producten of diensten die hij verlangt verkrijgt, houden we rekening met het risico dat verband houdt met de mate waarin de zakelijke relatie op afstand wordt onderhouden;</w:t>
      </w:r>
    </w:p>
    <w:p xmlns:w="http://schemas.openxmlformats.org/wordprocessingml/2006/main">
      <w:pPr>
        <w:widowControl w:val="on"/>
      </w:pPr>
      <w:rPr>
        <w:color w:val=""/>
      </w:rPr>
      <w:r>
        <w:rPr>
          <w:color w:val=""/>
        </w:rPr>
        <w:t xml:space="preserve">Het gegeven dat de identificatie op afstand gebeurt wordt beschouwd als een risiciverhogende factor </w:t>
      </w:r>
    </w:p>
    <w:p xmlns:w="http://schemas.openxmlformats.org/wordprocessingml/2006/main">
      <w:pPr>
        <w:widowControl w:val="on"/>
      </w:pPr>
      <w:rPr>
        <w:color w:val=""/>
      </w:rPr>
      <w:r>
        <w:rPr>
          <w:i/>
          <w:iCs/>
          <w:color w:val=""/>
        </w:rPr>
        <w:t xml:space="preserve">Relevantie</w:t>
      </w:r>
    </w:p>
    <w:p xmlns:w="http://schemas.openxmlformats.org/wordprocessingml/2006/main">
      <w:pPr>
        <w:widowControl w:val="on"/>
      </w:pPr>
      <w:rPr>
        <w:color w:val=""/>
      </w:rPr>
      <w:r>
        <w:rPr>
          <w:color w:val=""/>
        </w:rPr>
        <w:t xml:space="preserve">NEEN= komt in het geheel niet voor</w:t>
      </w:r>
    </w:p>
    <w:p xmlns:w="http://schemas.openxmlformats.org/wordprocessingml/2006/main">
      <w:pPr>
        <w:widowControl w:val="on"/>
      </w:pPr>
      <w:rPr>
        <w:color w:val=""/>
      </w:rPr>
      <w:r>
        <w:rPr>
          <w:color w:val=""/>
        </w:rPr>
        <w:t xml:space="preserve">JA = komt wel voor</w:t>
      </w:r>
    </w:p>
    <w:p xmlns:w="http://schemas.openxmlformats.org/wordprocessingml/2006/main">
      <w:pPr>
        <w:widowControl w:val="on"/>
      </w:pPr>
      <w:rPr>
        <w:color w:val=""/>
      </w:rPr>
      <w:r>
        <w:rPr>
          <w:i/>
          <w:iCs/>
          <w:color w:val=""/>
        </w:rPr>
        <w:t xml:space="preserve">Risiconiveau:</w:t>
      </w:r>
      <w:r>
        <w:rPr>
          <w:color w:val=""/>
        </w:rPr>
        <w:t xml:space="preserve"> hoe meer het voorkomt hoe hoger het risico.: LAAG (in geval van neen), STANDAARD (occassioneel/beperkte omvang), HOOG (regelmatig)</w:t>
      </w:r>
    </w:p>
    <w:p xmlns:w="http://schemas.openxmlformats.org/wordprocessingml/2006/main">
      <w:pPr>
        <w:widowControl w:val="on"/>
      </w:pPr>
      <w:rPr>
        <w:color w:val=""/>
      </w:rPr>
      <w:r>
        <w:rPr>
          <w:i/>
          <w:iCs/>
          <w:color w:val=""/>
        </w:rPr>
        <w:t xml:space="preserve">Verantwoording:</w:t>
      </w:r>
      <w:r>
        <w:rPr>
          <w:color w:val=""/>
        </w:rPr>
        <w:t xml:space="preserve"> dit is erg belangrijk, omdat de algemene risicobeoordeling moet worden gedocumenteerd en moet worden gerechtvaardigd tegenover de toezichtautoriteit. Dit zal het ook gemakkelijker maken om de periodieke herziening en actualisering van de risico beoordeling uit te voeren.</w:t>
      </w:r>
    </w:p>
    <w:tbl xmlns:w="http://schemas.openxmlformats.org/wordprocessingml/2006/main">
      <w:tblPr>
        <w:tblStyle w:val="NormalTablePHPDOCX"/>
        <w:tblW w:w="0" w:type="auto"/>
      </w:tblPr>
      <w:tblGrid>
        <w:gridCol w:w="3780"/>
        <w:gridCol w:w="1860"/>
      </w:tblGrid>
      <w:tr>
        <w:trPr>
          <w:trHeight w:val="0" w:hRule="atLeast"/>
        </w:trPr>
        <w:tc>
          <w:tcPr>
            <w:tcW w:w="3780" w:type="dxa"/>
            <w:tcBorders>
              <w:top w:val="single" w:color="000000" w:sz="5"/>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br/>
              <w:t xml:space="preserve"> </w:t>
            </w:r>
          </w:p>
        </w:tc>
        <w:tc>
          <w:tcPr>
            <w:tcW w:w="186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Relevantie</w:t>
            </w:r>
          </w:p>
        </w:tc>
        <w:tc>
          <w:tcPr>
            <w:tcW w:w="177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Risiconiveau</w:t>
            </w:r>
          </w:p>
        </w:tc>
        <w:tc>
          <w:tcPr>
            <w:tcW w:w="166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Verantwoording</w:t>
            </w:r>
          </w:p>
        </w:tc>
      </w:tr>
      <w:tr>
        <w:trPr>
          <w:trHeight w:val="0" w:hRule="atLeast"/>
        </w:trPr>
        <w:tc>
          <w:tcPr>
            <w:tcW w:w="3780"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Maakt het kantoor gebruik van identificatie op afstand ?</w:t>
            </w:r>
          </w:p>
        </w:tc>
        <w:tc>
          <w:tcPr>
            <w:tcW w:w="186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77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66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3.1.9 Risicofactoren in verband met de wijze waarop ons cliënteel in contact komt het kantoor – rol van tussenpersonen</w:t>
      </w:r>
    </w:p>
    <w:p xmlns:w="http://schemas.openxmlformats.org/wordprocessingml/2006/main">
      <w:pPr>
        <w:widowControl w:val="on"/>
      </w:pPr>
      <w:rPr>
        <w:color w:val=""/>
      </w:rPr>
      <w:r>
        <w:rPr>
          <w:color w:val=""/>
        </w:rPr>
        <w:t xml:space="preserve">Bij het gebruik maken van een tussenpersoon, al dan niet derde zaakaanbrenger, worden volgende elementen als risicoverlagend beschouwd:</w:t>
      </w:r>
    </w:p>
    <w:p xmlns:w="http://schemas.openxmlformats.org/wordprocessingml/2006/main">
      <w:pPr>
        <w:pStyle w:val="Lijstalinea"/>
        <w:numPr>
          <w:ilvl w:val="0"/>
          <w:numId w:val="12902"/>
        </w:numPr>
        <w:rPr/>
      </w:pPr>
      <w:r>
        <w:rPr>
          <w:color w:val=""/>
        </w:rPr>
        <w:t xml:space="preserve">De tussenpersoon is een aan de AWW onderworpen tussenpersoon zoals  bedoeld in artikel 5 van de AWW of geviseerd in de Richtlijn (EU) 2015/849</w:t>
      </w:r>
    </w:p>
    <w:p xmlns:w="http://schemas.openxmlformats.org/wordprocessingml/2006/main">
      <w:pPr>
        <w:pStyle w:val="Lijstalinea"/>
        <w:numPr>
          <w:ilvl w:val="0"/>
          <w:numId w:val="12902"/>
        </w:numPr>
        <w:rPr/>
      </w:pPr>
      <w:r>
        <w:rPr>
          <w:color w:val=""/>
        </w:rPr>
        <w:t xml:space="preserve"> Is de tussenpersoon onderworpen aan doeltreffend AWW-toezicht ?</w:t>
      </w:r>
    </w:p>
    <w:p xmlns:w="http://schemas.openxmlformats.org/wordprocessingml/2006/main">
      <w:pPr>
        <w:widowControl w:val="on"/>
      </w:pPr>
      <w:rPr>
        <w:color w:val=""/>
      </w:rPr>
      <w:r>
        <w:rPr>
          <w:i/>
          <w:iCs/>
          <w:color w:val=""/>
        </w:rPr>
        <w:t xml:space="preserve">Relevantie</w:t>
      </w:r>
    </w:p>
    <w:p xmlns:w="http://schemas.openxmlformats.org/wordprocessingml/2006/main">
      <w:pPr>
        <w:widowControl w:val="on"/>
      </w:pPr>
      <w:rPr>
        <w:color w:val=""/>
      </w:rPr>
      <w:r>
        <w:rPr>
          <w:color w:val=""/>
        </w:rPr>
        <w:t xml:space="preserve">NEEN= komt in het geheel niet voor</w:t>
      </w:r>
    </w:p>
    <w:p xmlns:w="http://schemas.openxmlformats.org/wordprocessingml/2006/main">
      <w:pPr>
        <w:widowControl w:val="on"/>
      </w:pPr>
      <w:rPr>
        <w:color w:val=""/>
      </w:rPr>
      <w:r>
        <w:rPr>
          <w:color w:val=""/>
        </w:rPr>
        <w:t xml:space="preserve">JA = komt wel voor</w:t>
      </w:r>
    </w:p>
    <w:p xmlns:w="http://schemas.openxmlformats.org/wordprocessingml/2006/main">
      <w:pPr>
        <w:widowControl w:val="on"/>
      </w:pPr>
      <w:rPr>
        <w:color w:val=""/>
      </w:rPr>
      <w:r>
        <w:rPr>
          <w:i/>
          <w:iCs/>
          <w:color w:val=""/>
        </w:rPr>
        <w:t xml:space="preserve">Risiconiveau:</w:t>
      </w:r>
      <w:r>
        <w:rPr>
          <w:color w:val=""/>
        </w:rPr>
        <w:t xml:space="preserve"> hoe meer het voorkomt hoe hoger het risico.: LAAG (in geval van neen), STANDAARD (occassioneel/beperkte omvang), HOOG (regelmatig)</w:t>
      </w:r>
    </w:p>
    <w:p xmlns:w="http://schemas.openxmlformats.org/wordprocessingml/2006/main">
      <w:pPr>
        <w:widowControl w:val="on"/>
      </w:pPr>
      <w:rPr>
        <w:color w:val=""/>
      </w:rPr>
      <w:r>
        <w:rPr>
          <w:i/>
          <w:iCs/>
          <w:color w:val=""/>
        </w:rPr>
        <w:t xml:space="preserve">Verantwoording:</w:t>
      </w:r>
      <w:r>
        <w:rPr>
          <w:color w:val=""/>
        </w:rPr>
        <w:t xml:space="preserve"> dit is erg belangrijk, omdat de algemene risicobeoordeling moet worden gedocumenteerd en moet worden gerechtvaardigd tegenover de toezichtautoriteit. Dit zal het ook gemakkelijker maken om de periodieke herziening en actualisering van de risico beoordeling uit te voeren.</w:t>
      </w:r>
    </w:p>
    <w:tbl xmlns:w="http://schemas.openxmlformats.org/wordprocessingml/2006/main">
      <w:tblPr>
        <w:tblStyle w:val="NormalTablePHPDOCX"/>
        <w:tblW w:w="0" w:type="auto"/>
      </w:tblPr>
      <w:tblGrid>
        <w:gridCol w:w="3225"/>
        <w:gridCol w:w="1980"/>
      </w:tblGrid>
      <w:tr>
        <w:trPr>
          <w:trHeight w:val="0" w:hRule="atLeast"/>
        </w:trPr>
        <w:tc>
          <w:tcPr>
            <w:tcW w:w="3225" w:type="dxa"/>
            <w:tcBorders>
              <w:top w:val="single" w:color="000000" w:sz="5"/>
              <w:left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c>
          <w:tcPr>
            <w:tcW w:w="1980"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Relevantie</w:t>
            </w:r>
          </w:p>
        </w:tc>
        <w:tc>
          <w:tcPr>
            <w:tcW w:w="184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Risiconiveau</w:t>
            </w:r>
          </w:p>
        </w:tc>
        <w:tc>
          <w:tcPr>
            <w:tcW w:w="1845" w:type="dxa"/>
            <w:tcBorders>
              <w:top w:val="single" w:color="000000" w:sz="5"/>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Verantwoording</w:t>
            </w:r>
          </w:p>
        </w:tc>
      </w:tr>
      <w:tr>
        <w:trPr>
          <w:trHeight w:val="0" w:hRule="atLeast"/>
        </w:trPr>
        <w:tc>
          <w:tcPr>
            <w:tcW w:w="3225" w:type="dxa"/>
            <w:tcBorders>
              <w:left w:val="single" w:color="000000" w:sz="5"/>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Zijn derde zaakaanbrengers die het kantoor gebruikt aan AWW-verplichtingen onderworpen personen</w:t>
            </w:r>
          </w:p>
        </w:tc>
        <w:tc>
          <w:tcPr>
            <w:tcW w:w="1980"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845" w:type="dxa"/>
            <w:tcBorders>
              <w:bottom w:val="single" w:color="000000" w:sz="5"/>
              <w:right w:val="single" w:color="000000" w:sz="5"/>
            </w:tcBorders>
            <w:tcMar>
              <w:top w:w="0" w:type="auto"/>
              <w:bottom w:w="0" w:type="auto"/>
            </w:tcMar>
            <w:vAlign w:val="center"/>
          </w:tcPr>
          <w:p>
            <w:pPr>
              <w:widowControl w:val="on"/>
            </w:pPr>
            <w:rPr>
              <w:color w:val=""/>
              <w:position w:val="-3"/>
            </w:rPr>
            <w:r>
              <w:rPr>
                <w:color w:val=""/>
                <w:position w:val="-3"/>
              </w:rPr>
              <w:t xml:space="preserve"> </w:t>
            </w:r>
          </w:p>
        </w:tc>
        <w:tc>
          <w:tcPr>
            <w:tcW w:w="1845" w:type="dxa"/>
            <w:tcBorders>
              <w:bottom w:val="single" w:color="000000" w:sz="5"/>
              <w:right w:val="single" w:color="000000" w:sz="5"/>
            </w:tcBorders>
            <w:tcMar>
              <w:top w:w="0" w:type="auto"/>
              <w:bottom w:w="0" w:type="auto"/>
            </w:tcMar>
            <w:vAlign w:val="top"/>
          </w:tcPr>
          <w:p>
            <w:pPr>
              <w:widowControl w:val="on"/>
            </w:pPr>
            <w:rPr>
              <w:color w:val=""/>
              <w:position w:val="0"/>
            </w:rPr>
            <w:r>
              <w:rPr>
                <w:color w:val=""/>
                <w:position w:val="0"/>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pStyle w:val="Kop3"/>
        <w:widowControl w:val="on"/>
        <w:outlineLvl w:val="2"/>
      </w:pPr>
      <w:rPr>
        <w:rStyle w:val="Kop3"/>
        <w:color w:val=""/>
      </w:rPr>
      <w:r>
        <w:rPr>
          <w:color w:val=""/>
        </w:rPr>
        <w:t xml:space="preserve">3.1.10 Besluit</w:t>
      </w:r>
    </w:p>
    <w:p xmlns:w="http://schemas.openxmlformats.org/wordprocessingml/2006/main">
      <w:pPr>
        <w:widowControl w:val="on"/>
      </w:pPr>
      <w:rPr>
        <w:color w:val=""/>
      </w:rPr>
      <w:r>
        <w:rPr>
          <w:color w:val=""/>
        </w:rPr>
        <w:t xml:space="preserve">Zie punt 6.4. van de Handleiding interne procedures. Het kantoor maakt op basis van deze vragen een algemeen besluit over het risicioniveau.</w:t>
      </w:r>
    </w:p>
    <w:p xmlns:w="http://schemas.openxmlformats.org/wordprocessingml/2006/main">
      <w:pPr>
        <w:widowControl w:val="on"/>
      </w:pPr>
      <w:rPr>
        <w:color w:val=""/>
      </w:rPr>
      <w:r>
        <w:rPr>
          <w:color w:val=""/>
        </w:rPr>
        <w:t xml:space="preserve"> </w:t>
      </w:r>
    </w:p>
    <w:p xmlns:w="http://schemas.openxmlformats.org/wordprocessingml/2006/main" xmlns:r="http://schemas.openxmlformats.org/officeDocument/2006/relationships">
      <w:pPr>
        <w:widowControl w:val="on"/>
      </w:pPr>
      <w:rPr>
        <w:color w:val=""/>
      </w:rPr>
      <w:hyperlink r:id="rId23646739b9cc868d5" w:history="1">
        <w:r>
          <w:rPr>
            <w:color w:val="0000CC"/>
            <w:u w:val="single"/>
          </w:rPr>
          <w:t xml:space="preserve">Disclaimer</w:t>
        </w:r>
      </w:hyperlink>
    </w:p>
    <w:sectPr xmlns:w="http://schemas.openxmlformats.org/wordprocessingml/2006/main" xmlns:r="http://schemas.openxmlformats.org/officeDocument/2006/relationships" w:rsidR="00CA4726" w:rsidRPr="00161314" w:rsidSect="00DB3FC0">
      <w:headerReference w:type="default" r:id="rId9"/>
      <w:footerReference w:type="default" r:id="rId10"/>
      <w:pgSz w:w="11906" w:h="16838" w:code="9" w:orient="portrait"/>
      <w:pgMar w:top="1407" w:right="1407" w:bottom="1407" w:left="140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3B57E" w14:textId="77777777" w:rsidR="009A236D" w:rsidRDefault="009A236D" w:rsidP="00C11245">
      <w:pPr>
        <w:spacing w:after="0" w:line="240" w:lineRule="auto"/>
      </w:pPr>
      <w:r>
        <w:separator/>
      </w:r>
    </w:p>
  </w:endnote>
  <w:endnote w:type="continuationSeparator" w:id="0">
    <w:p w14:paraId="25D04689" w14:textId="77777777" w:rsidR="009A236D" w:rsidRDefault="009A236D" w:rsidP="00C1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8F8C6" w14:textId="77777777" w:rsidR="004522AD" w:rsidRPr="00D542AD" w:rsidRDefault="00060D57" w:rsidP="004C22C7">
    <w:r>
      <w:t>Exported from BeExcellent on Sunday, 17 November 2024 10:39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5CE7A" w14:textId="77777777" w:rsidR="009A236D" w:rsidRDefault="009A236D" w:rsidP="00C11245">
      <w:pPr>
        <w:spacing w:after="0" w:line="240" w:lineRule="auto"/>
      </w:pPr>
      <w:r>
        <w:separator/>
      </w:r>
    </w:p>
  </w:footnote>
  <w:footnote w:type="continuationSeparator" w:id="0">
    <w:p w14:paraId="72AE3D2D" w14:textId="77777777" w:rsidR="009A236D" w:rsidRDefault="009A236D" w:rsidP="00C1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637056"/>
      <w:docPartObj>
        <w:docPartGallery w:val="Page Numbers (Top of Page)"/>
        <w:docPartUnique/>
      </w:docPartObj>
    </w:sdtPr>
    <w:sdtContent>
      <w:p w14:paraId="384C95EA" w14:textId="19492546" w:rsidR="00161314" w:rsidRDefault="00161314">
        <w:pPr>
          <w:pStyle w:val="Koptekst"/>
        </w:pPr>
        <w:r>
          <w:rPr>
            <w:noProof/>
          </w:rPr>
          <w:drawing>
            <wp:anchor distT="0" distB="0" distL="114300" distR="114300" simplePos="0" relativeHeight="251658240" behindDoc="0" locked="0" layoutInCell="1" allowOverlap="1" wp14:anchorId="0D330AF8" wp14:editId="32C3E600">
              <wp:simplePos x="0" y="0"/>
              <wp:positionH relativeFrom="column">
                <wp:posOffset>4125595</wp:posOffset>
              </wp:positionH>
              <wp:positionV relativeFrom="paragraph">
                <wp:posOffset>-201930</wp:posOffset>
              </wp:positionV>
              <wp:extent cx="2357755" cy="396240"/>
              <wp:effectExtent l="0" t="0" r="4445" b="3810"/>
              <wp:wrapThrough wrapText="bothSides">
                <wp:wrapPolygon edited="0">
                  <wp:start x="0" y="0"/>
                  <wp:lineTo x="0" y="20769"/>
                  <wp:lineTo x="21292" y="20769"/>
                  <wp:lineTo x="21466" y="13500"/>
                  <wp:lineTo x="21466" y="7269"/>
                  <wp:lineTo x="17801" y="0"/>
                  <wp:lineTo x="0" y="0"/>
                </wp:wrapPolygon>
              </wp:wrapThrough>
              <wp:docPr id="17588241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5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lang w:val="nl-NL"/>
          </w:rPr>
          <w:t>2</w:t>
        </w:r>
        <w:r>
          <w:fldChar w:fldCharType="end"/>
        </w:r>
      </w:p>
    </w:sdtContent>
  </w:sdt>
  <w:p w14:paraId="342E72F5" w14:textId="77777777" w:rsidR="004522AD" w:rsidRPr="00D542AD" w:rsidRDefault="004522AD" w:rsidP="00DF7E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16240">
    <w:multiLevelType w:val="hybridMultilevel"/>
    <w:lvl w:ilvl="0" w:tplc="95307070">
      <w:start w:val="1"/>
      <w:numFmt w:val="decimal"/>
      <w:lvlText w:val="%1."/>
      <w:lvlJc w:val="left"/>
      <w:pPr>
        <w:ind w:left="720" w:hanging="360"/>
      </w:pPr>
    </w:lvl>
    <w:lvl w:ilvl="1" w:tplc="95307070" w:tentative="1">
      <w:start w:val="1"/>
      <w:numFmt w:val="lowerLetter"/>
      <w:lvlText w:val="%2."/>
      <w:lvlJc w:val="left"/>
      <w:pPr>
        <w:ind w:left="1440" w:hanging="360"/>
      </w:pPr>
    </w:lvl>
    <w:lvl w:ilvl="2" w:tplc="95307070" w:tentative="1">
      <w:start w:val="1"/>
      <w:numFmt w:val="lowerRoman"/>
      <w:lvlText w:val="%3."/>
      <w:lvlJc w:val="right"/>
      <w:pPr>
        <w:ind w:left="2160" w:hanging="180"/>
      </w:pPr>
    </w:lvl>
    <w:lvl w:ilvl="3" w:tplc="95307070" w:tentative="1">
      <w:start w:val="1"/>
      <w:numFmt w:val="decimal"/>
      <w:lvlText w:val="%4."/>
      <w:lvlJc w:val="left"/>
      <w:pPr>
        <w:ind w:left="2880" w:hanging="360"/>
      </w:pPr>
    </w:lvl>
    <w:lvl w:ilvl="4" w:tplc="95307070" w:tentative="1">
      <w:start w:val="1"/>
      <w:numFmt w:val="lowerLetter"/>
      <w:lvlText w:val="%5."/>
      <w:lvlJc w:val="left"/>
      <w:pPr>
        <w:ind w:left="3600" w:hanging="360"/>
      </w:pPr>
    </w:lvl>
    <w:lvl w:ilvl="5" w:tplc="95307070" w:tentative="1">
      <w:start w:val="1"/>
      <w:numFmt w:val="lowerRoman"/>
      <w:lvlText w:val="%6."/>
      <w:lvlJc w:val="right"/>
      <w:pPr>
        <w:ind w:left="4320" w:hanging="180"/>
      </w:pPr>
    </w:lvl>
    <w:lvl w:ilvl="6" w:tplc="95307070" w:tentative="1">
      <w:start w:val="1"/>
      <w:numFmt w:val="decimal"/>
      <w:lvlText w:val="%7."/>
      <w:lvlJc w:val="left"/>
      <w:pPr>
        <w:ind w:left="5040" w:hanging="360"/>
      </w:pPr>
    </w:lvl>
    <w:lvl w:ilvl="7" w:tplc="95307070" w:tentative="1">
      <w:start w:val="1"/>
      <w:numFmt w:val="lowerLetter"/>
      <w:lvlText w:val="%8."/>
      <w:lvlJc w:val="left"/>
      <w:pPr>
        <w:ind w:left="5760" w:hanging="360"/>
      </w:pPr>
    </w:lvl>
    <w:lvl w:ilvl="8" w:tplc="95307070" w:tentative="1">
      <w:start w:val="1"/>
      <w:numFmt w:val="lowerRoman"/>
      <w:lvlText w:val="%9."/>
      <w:lvlJc w:val="right"/>
      <w:pPr>
        <w:ind w:left="6480" w:hanging="180"/>
      </w:pPr>
    </w:lvl>
  </w:abstractNum>
  <w:abstractNum w:abstractNumId="16239">
    <w:multiLevelType w:val="hybridMultilevel"/>
    <w:lvl w:ilvl="0" w:tplc="94130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02">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583863219">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84144698">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899416294">
    <w:multiLevelType w:val="hybridMultilevel"/>
    <w:lvl w:ilvl="0">
      <w:start w:val="1"/>
      <w:numFmt w:val="bullet"/>
      <w:lvlText w:val="l"/>
      <w:lvlJc w:val="left"/>
      <w:pPr>
        <w:ind w:left="720" w:hanging="360"/>
      </w:pPr>
      <w:rPr>
        <w:rFonts w:ascii="Wingdings" w:hAnsi="Wingdings" w:cs="Wingdings" w:hint="default"/>
        <w:sz w:val="18"/>
        <w:szCs w:val="18"/>
      </w:rPr>
    </w:lvl>
    <w:lvl w:ilvl="1">
      <w:start w:val="1"/>
      <w:numFmt w:val="bullet"/>
      <w:lvlText w:val="l"/>
      <w:lvlJc w:val="left"/>
      <w:pPr>
        <w:ind w:left="1440" w:hanging="360"/>
      </w:pPr>
      <w:rPr>
        <w:rFonts w:ascii="Wingdings" w:hAnsi="Wingdings" w:cs="Wingdings" w:hint="default"/>
        <w:sz w:val="18"/>
        <w:szCs w:val="18"/>
      </w:rPr>
    </w:lvl>
    <w:lvl w:ilvl="2">
      <w:start w:val="1"/>
      <w:numFmt w:val="bullet"/>
      <w:lvlText w:val="l"/>
      <w:lvlJc w:val="left"/>
      <w:pPr>
        <w:ind w:left="2160" w:hanging="360"/>
      </w:pPr>
      <w:rPr>
        <w:rFonts w:ascii="Wingdings" w:hAnsi="Wingdings" w:cs="Wingdings" w:hint="default"/>
        <w:sz w:val="18"/>
        <w:szCs w:val="18"/>
      </w:rPr>
    </w:lvl>
    <w:lvl w:ilvl="3">
      <w:start w:val="1"/>
      <w:numFmt w:val="bullet"/>
      <w:lvlText w:val="l"/>
      <w:lvlJc w:val="left"/>
      <w:pPr>
        <w:ind w:left="2880" w:hanging="360"/>
      </w:pPr>
      <w:rPr>
        <w:rFonts w:ascii="Wingdings" w:hAnsi="Wingdings" w:cs="Wingdings" w:hint="default"/>
        <w:sz w:val="18"/>
        <w:szCs w:val="18"/>
      </w:rPr>
    </w:lvl>
    <w:lvl w:ilvl="4">
      <w:start w:val="1"/>
      <w:numFmt w:val="bullet"/>
      <w:lvlText w:val="l"/>
      <w:lvlJc w:val="left"/>
      <w:pPr>
        <w:ind w:left="3600" w:hanging="360"/>
      </w:pPr>
      <w:rPr>
        <w:rFonts w:ascii="Wingdings" w:hAnsi="Wingdings" w:cs="Wingdings" w:hint="default"/>
        <w:sz w:val="18"/>
        <w:szCs w:val="18"/>
      </w:rPr>
    </w:lvl>
    <w:lvl w:ilvl="5">
      <w:start w:val="1"/>
      <w:numFmt w:val="bullet"/>
      <w:lvlText w:val="l"/>
      <w:lvlJc w:val="left"/>
      <w:pPr>
        <w:ind w:left="4320" w:hanging="360"/>
      </w:pPr>
      <w:rPr>
        <w:rFonts w:ascii="Wingdings" w:hAnsi="Wingdings" w:cs="Wingdings" w:hint="default"/>
        <w:sz w:val="18"/>
        <w:szCs w:val="18"/>
      </w:rPr>
    </w:lvl>
    <w:lvl w:ilvl="6">
      <w:start w:val="1"/>
      <w:numFmt w:val="bullet"/>
      <w:lvlText w:val="l"/>
      <w:lvlJc w:val="left"/>
      <w:pPr>
        <w:ind w:left="5040" w:hanging="360"/>
      </w:pPr>
      <w:rPr>
        <w:rFonts w:ascii="Wingdings" w:hAnsi="Wingdings" w:cs="Wingdings" w:hint="default"/>
        <w:sz w:val="18"/>
        <w:szCs w:val="18"/>
      </w:rPr>
    </w:lvl>
    <w:lvl w:ilvl="7">
      <w:start w:val="1"/>
      <w:numFmt w:val="bullet"/>
      <w:lvlText w:val="l"/>
      <w:lvlJc w:val="left"/>
      <w:pPr>
        <w:ind w:left="5760" w:hanging="360"/>
      </w:pPr>
      <w:rPr>
        <w:rFonts w:ascii="Wingdings" w:hAnsi="Wingdings" w:cs="Wingdings" w:hint="default"/>
        <w:sz w:val="18"/>
        <w:szCs w:val="18"/>
      </w:rPr>
    </w:lvl>
    <w:lvl w:ilvl="8">
      <w:start w:val="1"/>
      <w:numFmt w:val="bullet"/>
      <w:lvlText w:val="l"/>
      <w:lvlJc w:val="left"/>
      <w:pPr>
        <w:ind w:left="6480" w:hanging="360"/>
      </w:pPr>
      <w:rPr>
        <w:rFonts w:ascii="Wingdings" w:hAnsi="Wingdings" w:cs="Wingdings" w:hint="default"/>
        <w:sz w:val="18"/>
        <w:szCs w:val="18"/>
      </w:rPr>
    </w:lvl>
  </w:abstractNum>
  <w:abstractNum w:abstractNumId="856964107">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69420214">
    <w:multiLevelType w:val="hybridMultilevel"/>
    <w:lvl w:ilvl="0">
      <w:start w:val="1"/>
      <w:numFmt w:val="lowerLetter"/>
      <w:lvlText w:val="%1."/>
      <w:lvlJc w:val="left"/>
      <w:pPr>
        <w:ind w:left="720" w:hanging="360"/>
      </w:pPr>
      <w:rPr>
        <w:rFonts w:ascii="Calibri" w:hAnsi="Calibri" w:cs="Calibri" w:hint="default"/>
        <w:sz w:val="24"/>
        <w:szCs w:val="24"/>
      </w:rPr>
    </w:lvl>
    <w:lvl w:ilvl="1">
      <w:start w:val="1"/>
      <w:numFmt w:val="lowerLetter"/>
      <w:lvlText w:val="%2."/>
      <w:lvlJc w:val="left"/>
      <w:pPr>
        <w:ind w:left="1440" w:hanging="360"/>
      </w:pPr>
      <w:rPr>
        <w:rFonts w:ascii="Calibri" w:hAnsi="Calibri" w:cs="Calibri" w:hint="default"/>
        <w:sz w:val="24"/>
        <w:szCs w:val="24"/>
      </w:rPr>
    </w:lvl>
    <w:lvl w:ilvl="2">
      <w:start w:val="1"/>
      <w:numFmt w:val="lowerLetter"/>
      <w:lvlText w:val="%3."/>
      <w:lvlJc w:val="left"/>
      <w:pPr>
        <w:ind w:left="2160" w:hanging="360"/>
      </w:pPr>
      <w:rPr>
        <w:rFonts w:ascii="Calibri" w:hAnsi="Calibri" w:cs="Calibri" w:hint="default"/>
        <w:sz w:val="24"/>
        <w:szCs w:val="24"/>
      </w:rPr>
    </w:lvl>
    <w:lvl w:ilvl="3">
      <w:start w:val="1"/>
      <w:numFmt w:val="lowerLetter"/>
      <w:lvlText w:val="%4."/>
      <w:lvlJc w:val="left"/>
      <w:pPr>
        <w:ind w:left="2880" w:hanging="360"/>
      </w:pPr>
      <w:rPr>
        <w:rFonts w:ascii="Calibri" w:hAnsi="Calibri" w:cs="Calibri" w:hint="default"/>
        <w:sz w:val="24"/>
        <w:szCs w:val="24"/>
      </w:rPr>
    </w:lvl>
    <w:lvl w:ilvl="4">
      <w:start w:val="1"/>
      <w:numFmt w:val="lowerLetter"/>
      <w:lvlText w:val="%5."/>
      <w:lvlJc w:val="left"/>
      <w:pPr>
        <w:ind w:left="3600" w:hanging="360"/>
      </w:pPr>
      <w:rPr>
        <w:rFonts w:ascii="Calibri" w:hAnsi="Calibri" w:cs="Calibri" w:hint="default"/>
        <w:sz w:val="24"/>
        <w:szCs w:val="24"/>
      </w:rPr>
    </w:lvl>
    <w:lvl w:ilvl="5">
      <w:start w:val="1"/>
      <w:numFmt w:val="lowerLetter"/>
      <w:lvlText w:val="%6."/>
      <w:lvlJc w:val="left"/>
      <w:pPr>
        <w:ind w:left="4320" w:hanging="360"/>
      </w:pPr>
      <w:rPr>
        <w:rFonts w:ascii="Calibri" w:hAnsi="Calibri" w:cs="Calibri" w:hint="default"/>
        <w:sz w:val="24"/>
        <w:szCs w:val="24"/>
      </w:rPr>
    </w:lvl>
    <w:lvl w:ilvl="6">
      <w:start w:val="1"/>
      <w:numFmt w:val="lowerLetter"/>
      <w:lvlText w:val="%7."/>
      <w:lvlJc w:val="left"/>
      <w:pPr>
        <w:ind w:left="5040" w:hanging="360"/>
      </w:pPr>
      <w:rPr>
        <w:rFonts w:ascii="Calibri" w:hAnsi="Calibri" w:cs="Calibri" w:hint="default"/>
        <w:sz w:val="24"/>
        <w:szCs w:val="24"/>
      </w:rPr>
    </w:lvl>
    <w:lvl w:ilvl="7">
      <w:start w:val="1"/>
      <w:numFmt w:val="lowerLetter"/>
      <w:lvlText w:val="%8."/>
      <w:lvlJc w:val="left"/>
      <w:pPr>
        <w:ind w:left="5760" w:hanging="360"/>
      </w:pPr>
      <w:rPr>
        <w:rFonts w:ascii="Calibri" w:hAnsi="Calibri" w:cs="Calibri" w:hint="default"/>
        <w:sz w:val="24"/>
        <w:szCs w:val="24"/>
      </w:rPr>
    </w:lvl>
    <w:lvl w:ilvl="8">
      <w:start w:val="1"/>
      <w:numFmt w:val="lowerLetter"/>
      <w:lvlText w:val="%9."/>
      <w:lvlJc w:val="left"/>
      <w:pPr>
        <w:ind w:left="6480" w:hanging="360"/>
      </w:pPr>
      <w:rPr>
        <w:rFonts w:ascii="Calibri" w:hAnsi="Calibri" w:cs="Calibri" w:hint="default"/>
        <w:sz w:val="24"/>
        <w:szCs w:val="24"/>
      </w:rPr>
    </w:lvl>
  </w:abstractNum>
  <w:abstractNum w:abstractNumId="391161275">
    <w:multiLevelType w:val="hybridMultilevel"/>
    <w:lvl w:ilvl="0">
      <w:start w:val="1"/>
      <w:numFmt w:val="upperLetter"/>
      <w:lvlText w:val="%1."/>
      <w:lvlJc w:val="left"/>
      <w:pPr>
        <w:ind w:left="720" w:hanging="360"/>
      </w:pPr>
      <w:rPr>
        <w:rFonts w:ascii="Calibri" w:hAnsi="Calibri" w:cs="Calibri" w:hint="default"/>
        <w:sz w:val="24"/>
        <w:szCs w:val="24"/>
      </w:rPr>
    </w:lvl>
    <w:lvl w:ilvl="1">
      <w:start w:val="1"/>
      <w:numFmt w:val="upperLetter"/>
      <w:lvlText w:val="%2."/>
      <w:lvlJc w:val="left"/>
      <w:pPr>
        <w:ind w:left="1440" w:hanging="360"/>
      </w:pPr>
      <w:rPr>
        <w:rFonts w:ascii="Calibri" w:hAnsi="Calibri" w:cs="Calibri" w:hint="default"/>
        <w:sz w:val="24"/>
        <w:szCs w:val="24"/>
      </w:rPr>
    </w:lvl>
    <w:lvl w:ilvl="2">
      <w:start w:val="1"/>
      <w:numFmt w:val="upperLetter"/>
      <w:lvlText w:val="%3."/>
      <w:lvlJc w:val="left"/>
      <w:pPr>
        <w:ind w:left="2160" w:hanging="360"/>
      </w:pPr>
      <w:rPr>
        <w:rFonts w:ascii="Calibri" w:hAnsi="Calibri" w:cs="Calibri" w:hint="default"/>
        <w:sz w:val="24"/>
        <w:szCs w:val="24"/>
      </w:rPr>
    </w:lvl>
    <w:lvl w:ilvl="3">
      <w:start w:val="1"/>
      <w:numFmt w:val="upperLetter"/>
      <w:lvlText w:val="%4."/>
      <w:lvlJc w:val="left"/>
      <w:pPr>
        <w:ind w:left="2880" w:hanging="360"/>
      </w:pPr>
      <w:rPr>
        <w:rFonts w:ascii="Calibri" w:hAnsi="Calibri" w:cs="Calibri" w:hint="default"/>
        <w:sz w:val="24"/>
        <w:szCs w:val="24"/>
      </w:rPr>
    </w:lvl>
    <w:lvl w:ilvl="4">
      <w:start w:val="1"/>
      <w:numFmt w:val="upperLetter"/>
      <w:lvlText w:val="%5."/>
      <w:lvlJc w:val="left"/>
      <w:pPr>
        <w:ind w:left="3600" w:hanging="360"/>
      </w:pPr>
      <w:rPr>
        <w:rFonts w:ascii="Calibri" w:hAnsi="Calibri" w:cs="Calibri" w:hint="default"/>
        <w:sz w:val="24"/>
        <w:szCs w:val="24"/>
      </w:rPr>
    </w:lvl>
    <w:lvl w:ilvl="5">
      <w:start w:val="1"/>
      <w:numFmt w:val="upperLetter"/>
      <w:lvlText w:val="%6."/>
      <w:lvlJc w:val="left"/>
      <w:pPr>
        <w:ind w:left="4320" w:hanging="360"/>
      </w:pPr>
      <w:rPr>
        <w:rFonts w:ascii="Calibri" w:hAnsi="Calibri" w:cs="Calibri" w:hint="default"/>
        <w:sz w:val="24"/>
        <w:szCs w:val="24"/>
      </w:rPr>
    </w:lvl>
    <w:lvl w:ilvl="6">
      <w:start w:val="1"/>
      <w:numFmt w:val="upperLetter"/>
      <w:lvlText w:val="%7."/>
      <w:lvlJc w:val="left"/>
      <w:pPr>
        <w:ind w:left="5040" w:hanging="360"/>
      </w:pPr>
      <w:rPr>
        <w:rFonts w:ascii="Calibri" w:hAnsi="Calibri" w:cs="Calibri" w:hint="default"/>
        <w:sz w:val="24"/>
        <w:szCs w:val="24"/>
      </w:rPr>
    </w:lvl>
    <w:lvl w:ilvl="7">
      <w:start w:val="1"/>
      <w:numFmt w:val="upperLetter"/>
      <w:lvlText w:val="%8."/>
      <w:lvlJc w:val="left"/>
      <w:pPr>
        <w:ind w:left="5760" w:hanging="360"/>
      </w:pPr>
      <w:rPr>
        <w:rFonts w:ascii="Calibri" w:hAnsi="Calibri" w:cs="Calibri" w:hint="default"/>
        <w:sz w:val="24"/>
        <w:szCs w:val="24"/>
      </w:rPr>
    </w:lvl>
    <w:lvl w:ilvl="8">
      <w:start w:val="1"/>
      <w:numFmt w:val="upperLetter"/>
      <w:lvlText w:val="%9."/>
      <w:lvlJc w:val="left"/>
      <w:pPr>
        <w:ind w:left="6480" w:hanging="360"/>
      </w:pPr>
      <w:rPr>
        <w:rFonts w:ascii="Calibri" w:hAnsi="Calibri" w:cs="Calibri" w:hint="default"/>
        <w:sz w:val="24"/>
        <w:szCs w:val="24"/>
      </w:rPr>
    </w:lvl>
  </w:abstractNum>
  <w:abstractNum w:abstractNumId="345164457">
    <w:multiLevelType w:val="hybridMultilevel"/>
    <w:lvl w:ilvl="0">
      <w:start w:val="1"/>
      <w:numFmt w:val="lowerRoman"/>
      <w:lvlText w:val="%1."/>
      <w:lvlJc w:val="left"/>
      <w:pPr>
        <w:ind w:left="720" w:hanging="360"/>
      </w:pPr>
      <w:rPr>
        <w:rFonts w:ascii="Calibri" w:hAnsi="Calibri" w:cs="Calibri" w:hint="default"/>
        <w:sz w:val="24"/>
        <w:szCs w:val="24"/>
      </w:rPr>
    </w:lvl>
    <w:lvl w:ilvl="1">
      <w:start w:val="1"/>
      <w:numFmt w:val="lowerRoman"/>
      <w:lvlText w:val="%2."/>
      <w:lvlJc w:val="left"/>
      <w:pPr>
        <w:ind w:left="1440" w:hanging="360"/>
      </w:pPr>
      <w:rPr>
        <w:rFonts w:ascii="Calibri" w:hAnsi="Calibri" w:cs="Calibri" w:hint="default"/>
        <w:sz w:val="24"/>
        <w:szCs w:val="24"/>
      </w:rPr>
    </w:lvl>
    <w:lvl w:ilvl="2">
      <w:start w:val="1"/>
      <w:numFmt w:val="lowerRoman"/>
      <w:lvlText w:val="%3."/>
      <w:lvlJc w:val="left"/>
      <w:pPr>
        <w:ind w:left="2160" w:hanging="360"/>
      </w:pPr>
      <w:rPr>
        <w:rFonts w:ascii="Calibri" w:hAnsi="Calibri" w:cs="Calibri" w:hint="default"/>
        <w:sz w:val="24"/>
        <w:szCs w:val="24"/>
      </w:rPr>
    </w:lvl>
    <w:lvl w:ilvl="3">
      <w:start w:val="1"/>
      <w:numFmt w:val="lowerRoman"/>
      <w:lvlText w:val="%4."/>
      <w:lvlJc w:val="left"/>
      <w:pPr>
        <w:ind w:left="2880" w:hanging="360"/>
      </w:pPr>
      <w:rPr>
        <w:rFonts w:ascii="Calibri" w:hAnsi="Calibri" w:cs="Calibri" w:hint="default"/>
        <w:sz w:val="24"/>
        <w:szCs w:val="24"/>
      </w:rPr>
    </w:lvl>
    <w:lvl w:ilvl="4">
      <w:start w:val="1"/>
      <w:numFmt w:val="lowerRoman"/>
      <w:lvlText w:val="%5."/>
      <w:lvlJc w:val="left"/>
      <w:pPr>
        <w:ind w:left="3600" w:hanging="360"/>
      </w:pPr>
      <w:rPr>
        <w:rFonts w:ascii="Calibri" w:hAnsi="Calibri" w:cs="Calibri" w:hint="default"/>
        <w:sz w:val="24"/>
        <w:szCs w:val="24"/>
      </w:rPr>
    </w:lvl>
    <w:lvl w:ilvl="5">
      <w:start w:val="1"/>
      <w:numFmt w:val="lowerRoman"/>
      <w:lvlText w:val="%6."/>
      <w:lvlJc w:val="left"/>
      <w:pPr>
        <w:ind w:left="4320" w:hanging="360"/>
      </w:pPr>
      <w:rPr>
        <w:rFonts w:ascii="Calibri" w:hAnsi="Calibri" w:cs="Calibri" w:hint="default"/>
        <w:sz w:val="24"/>
        <w:szCs w:val="24"/>
      </w:rPr>
    </w:lvl>
    <w:lvl w:ilvl="6">
      <w:start w:val="1"/>
      <w:numFmt w:val="lowerRoman"/>
      <w:lvlText w:val="%7."/>
      <w:lvlJc w:val="left"/>
      <w:pPr>
        <w:ind w:left="5040" w:hanging="360"/>
      </w:pPr>
      <w:rPr>
        <w:rFonts w:ascii="Calibri" w:hAnsi="Calibri" w:cs="Calibri" w:hint="default"/>
        <w:sz w:val="24"/>
        <w:szCs w:val="24"/>
      </w:rPr>
    </w:lvl>
    <w:lvl w:ilvl="7">
      <w:start w:val="1"/>
      <w:numFmt w:val="lowerRoman"/>
      <w:lvlText w:val="%8."/>
      <w:lvlJc w:val="left"/>
      <w:pPr>
        <w:ind w:left="5760" w:hanging="360"/>
      </w:pPr>
      <w:rPr>
        <w:rFonts w:ascii="Calibri" w:hAnsi="Calibri" w:cs="Calibri" w:hint="default"/>
        <w:sz w:val="24"/>
        <w:szCs w:val="24"/>
      </w:rPr>
    </w:lvl>
    <w:lvl w:ilvl="8">
      <w:start w:val="1"/>
      <w:numFmt w:val="lowerRoman"/>
      <w:lvlText w:val="%9."/>
      <w:lvlJc w:val="left"/>
      <w:pPr>
        <w:ind w:left="6480" w:hanging="360"/>
      </w:pPr>
      <w:rPr>
        <w:rFonts w:ascii="Calibri" w:hAnsi="Calibri" w:cs="Calibri" w:hint="default"/>
        <w:sz w:val="24"/>
        <w:szCs w:val="24"/>
      </w:rPr>
    </w:lvl>
  </w:abstractNum>
  <w:abstractNum w:abstractNumId="400909358">
    <w:multiLevelType w:val="hybridMultilevel"/>
    <w:lvl w:ilvl="0">
      <w:start w:val="1"/>
      <w:numFmt w:val="upperRoman"/>
      <w:lvlText w:val="%1."/>
      <w:lvlJc w:val="left"/>
      <w:pPr>
        <w:ind w:left="720" w:hanging="360"/>
      </w:pPr>
      <w:rPr>
        <w:rFonts w:ascii="Calibri" w:hAnsi="Calibri" w:cs="Calibri" w:hint="default"/>
        <w:sz w:val="24"/>
        <w:szCs w:val="24"/>
      </w:rPr>
    </w:lvl>
    <w:lvl w:ilvl="1">
      <w:start w:val="1"/>
      <w:numFmt w:val="upperRoman"/>
      <w:lvlText w:val="%2."/>
      <w:lvlJc w:val="left"/>
      <w:pPr>
        <w:ind w:left="1440" w:hanging="360"/>
      </w:pPr>
      <w:rPr>
        <w:rFonts w:ascii="Calibri" w:hAnsi="Calibri" w:cs="Calibri" w:hint="default"/>
        <w:sz w:val="24"/>
        <w:szCs w:val="24"/>
      </w:rPr>
    </w:lvl>
    <w:lvl w:ilvl="2">
      <w:start w:val="1"/>
      <w:numFmt w:val="upperRoman"/>
      <w:lvlText w:val="%3."/>
      <w:lvlJc w:val="left"/>
      <w:pPr>
        <w:ind w:left="2160" w:hanging="360"/>
      </w:pPr>
      <w:rPr>
        <w:rFonts w:ascii="Calibri" w:hAnsi="Calibri" w:cs="Calibri" w:hint="default"/>
        <w:sz w:val="24"/>
        <w:szCs w:val="24"/>
      </w:rPr>
    </w:lvl>
    <w:lvl w:ilvl="3">
      <w:start w:val="1"/>
      <w:numFmt w:val="upperRoman"/>
      <w:lvlText w:val="%4."/>
      <w:lvlJc w:val="left"/>
      <w:pPr>
        <w:ind w:left="2880" w:hanging="360"/>
      </w:pPr>
      <w:rPr>
        <w:rFonts w:ascii="Calibri" w:hAnsi="Calibri" w:cs="Calibri" w:hint="default"/>
        <w:sz w:val="24"/>
        <w:szCs w:val="24"/>
      </w:rPr>
    </w:lvl>
    <w:lvl w:ilvl="4">
      <w:start w:val="1"/>
      <w:numFmt w:val="upperRoman"/>
      <w:lvlText w:val="%5."/>
      <w:lvlJc w:val="left"/>
      <w:pPr>
        <w:ind w:left="3600" w:hanging="360"/>
      </w:pPr>
      <w:rPr>
        <w:rFonts w:ascii="Calibri" w:hAnsi="Calibri" w:cs="Calibri" w:hint="default"/>
        <w:sz w:val="24"/>
        <w:szCs w:val="24"/>
      </w:rPr>
    </w:lvl>
    <w:lvl w:ilvl="5">
      <w:start w:val="1"/>
      <w:numFmt w:val="upperRoman"/>
      <w:lvlText w:val="%6."/>
      <w:lvlJc w:val="left"/>
      <w:pPr>
        <w:ind w:left="4320" w:hanging="360"/>
      </w:pPr>
      <w:rPr>
        <w:rFonts w:ascii="Calibri" w:hAnsi="Calibri" w:cs="Calibri" w:hint="default"/>
        <w:sz w:val="24"/>
        <w:szCs w:val="24"/>
      </w:rPr>
    </w:lvl>
    <w:lvl w:ilvl="6">
      <w:start w:val="1"/>
      <w:numFmt w:val="upperRoman"/>
      <w:lvlText w:val="%7."/>
      <w:lvlJc w:val="left"/>
      <w:pPr>
        <w:ind w:left="5040" w:hanging="360"/>
      </w:pPr>
      <w:rPr>
        <w:rFonts w:ascii="Calibri" w:hAnsi="Calibri" w:cs="Calibri" w:hint="default"/>
        <w:sz w:val="24"/>
        <w:szCs w:val="24"/>
      </w:rPr>
    </w:lvl>
    <w:lvl w:ilvl="7">
      <w:start w:val="1"/>
      <w:numFmt w:val="upperRoman"/>
      <w:lvlText w:val="%8."/>
      <w:lvlJc w:val="left"/>
      <w:pPr>
        <w:ind w:left="5760" w:hanging="360"/>
      </w:pPr>
      <w:rPr>
        <w:rFonts w:ascii="Calibri" w:hAnsi="Calibri" w:cs="Calibri" w:hint="default"/>
        <w:sz w:val="24"/>
        <w:szCs w:val="24"/>
      </w:rPr>
    </w:lvl>
    <w:lvl w:ilvl="8">
      <w:start w:val="1"/>
      <w:numFmt w:val="upperRoman"/>
      <w:lvlText w:val="%9."/>
      <w:lvlJc w:val="left"/>
      <w:pPr>
        <w:ind w:left="6480" w:hanging="360"/>
      </w:pPr>
      <w:rPr>
        <w:rFonts w:ascii="Calibri" w:hAnsi="Calibri" w:cs="Calibri" w:hint="default"/>
        <w:sz w:val="24"/>
        <w:szCs w:val="24"/>
      </w:rPr>
    </w:lvl>
  </w:abstractNum>
  <w:abstractNum w:abstractNumId="918339207">
    <w:multiLevelType w:val="hybridMultilevel"/>
    <w:lvl w:ilvl="0">
      <w:start w:val="1"/>
      <w:numFmt w:val="decimal"/>
      <w:lvlText w:val="%1."/>
      <w:lvlJc w:val="left"/>
      <w:pPr>
        <w:ind w:left="720" w:hanging="360"/>
      </w:pPr>
      <w:rPr>
        <w:rFonts w:ascii="Calibri" w:hAnsi="Calibri" w:cs="Calibri" w:hint="default"/>
        <w:sz w:val="24"/>
        <w:szCs w:val="24"/>
      </w:rPr>
    </w:lvl>
    <w:lvl w:ilvl="1">
      <w:start w:val="1"/>
      <w:numFmt w:val="decimal"/>
      <w:lvlText w:val="%2."/>
      <w:lvlJc w:val="left"/>
      <w:pPr>
        <w:ind w:left="1440" w:hanging="360"/>
      </w:pPr>
      <w:rPr>
        <w:rFonts w:ascii="Calibri" w:hAnsi="Calibri" w:cs="Calibri" w:hint="default"/>
        <w:sz w:val="24"/>
        <w:szCs w:val="24"/>
      </w:rPr>
    </w:lvl>
    <w:lvl w:ilvl="2">
      <w:start w:val="1"/>
      <w:numFmt w:val="decimal"/>
      <w:lvlText w:val="%3."/>
      <w:lvlJc w:val="left"/>
      <w:pPr>
        <w:ind w:left="2160" w:hanging="360"/>
      </w:pPr>
      <w:rPr>
        <w:rFonts w:ascii="Calibri" w:hAnsi="Calibri" w:cs="Calibri" w:hint="default"/>
        <w:sz w:val="24"/>
        <w:szCs w:val="24"/>
      </w:rPr>
    </w:lvl>
    <w:lvl w:ilvl="3">
      <w:start w:val="1"/>
      <w:numFmt w:val="decimal"/>
      <w:lvlText w:val="%4."/>
      <w:lvlJc w:val="left"/>
      <w:pPr>
        <w:ind w:left="2880" w:hanging="360"/>
      </w:pPr>
      <w:rPr>
        <w:rFonts w:ascii="Calibri" w:hAnsi="Calibri" w:cs="Calibri" w:hint="default"/>
        <w:sz w:val="24"/>
        <w:szCs w:val="24"/>
      </w:rPr>
    </w:lvl>
    <w:lvl w:ilvl="4">
      <w:start w:val="1"/>
      <w:numFmt w:val="decimal"/>
      <w:lvlText w:val="%5."/>
      <w:lvlJc w:val="left"/>
      <w:pPr>
        <w:ind w:left="3600" w:hanging="360"/>
      </w:pPr>
      <w:rPr>
        <w:rFonts w:ascii="Calibri" w:hAnsi="Calibri" w:cs="Calibri" w:hint="default"/>
        <w:sz w:val="24"/>
        <w:szCs w:val="24"/>
      </w:rPr>
    </w:lvl>
    <w:lvl w:ilvl="5">
      <w:start w:val="1"/>
      <w:numFmt w:val="decimal"/>
      <w:lvlText w:val="%6."/>
      <w:lvlJc w:val="left"/>
      <w:pPr>
        <w:ind w:left="4320" w:hanging="360"/>
      </w:pPr>
      <w:rPr>
        <w:rFonts w:ascii="Calibri" w:hAnsi="Calibri" w:cs="Calibri" w:hint="default"/>
        <w:sz w:val="24"/>
        <w:szCs w:val="24"/>
      </w:rPr>
    </w:lvl>
    <w:lvl w:ilvl="6">
      <w:start w:val="1"/>
      <w:numFmt w:val="decimal"/>
      <w:lvlText w:val="%7."/>
      <w:lvlJc w:val="left"/>
      <w:pPr>
        <w:ind w:left="5040" w:hanging="360"/>
      </w:pPr>
      <w:rPr>
        <w:rFonts w:ascii="Calibri" w:hAnsi="Calibri" w:cs="Calibri" w:hint="default"/>
        <w:sz w:val="24"/>
        <w:szCs w:val="24"/>
      </w:rPr>
    </w:lvl>
    <w:lvl w:ilvl="7">
      <w:start w:val="1"/>
      <w:numFmt w:val="decimal"/>
      <w:lvlText w:val="%8."/>
      <w:lvlJc w:val="left"/>
      <w:pPr>
        <w:ind w:left="5760" w:hanging="360"/>
      </w:pPr>
      <w:rPr>
        <w:rFonts w:ascii="Calibri" w:hAnsi="Calibri" w:cs="Calibri" w:hint="default"/>
        <w:sz w:val="24"/>
        <w:szCs w:val="24"/>
      </w:rPr>
    </w:lvl>
    <w:lvl w:ilvl="8">
      <w:start w:val="1"/>
      <w:numFmt w:val="decimal"/>
      <w:lvlText w:val="%9."/>
      <w:lvlJc w:val="left"/>
      <w:pPr>
        <w:ind w:left="6480" w:hanging="360"/>
      </w:pPr>
      <w:rPr>
        <w:rFonts w:ascii="Calibri" w:hAnsi="Calibri" w:cs="Calibri" w:hint="default"/>
        <w:sz w:val="24"/>
        <w:szCs w:val="24"/>
      </w:rPr>
    </w:lvl>
  </w:abstractNum>
  <w:abstractNum w:abstractNumId="28600">
    <w:multiLevelType w:val="hybridMultilevel"/>
    <w:lvl w:ilvl="0" w:tplc="20474774">
      <w:start w:val="1"/>
      <w:numFmt w:val="decimal"/>
      <w:lvlText w:val="%1."/>
      <w:lvlJc w:val="left"/>
      <w:pPr>
        <w:ind w:left="720" w:hanging="360"/>
      </w:pPr>
    </w:lvl>
    <w:lvl w:ilvl="1" w:tplc="20474774" w:tentative="1">
      <w:start w:val="1"/>
      <w:numFmt w:val="lowerLetter"/>
      <w:lvlText w:val="%2."/>
      <w:lvlJc w:val="left"/>
      <w:pPr>
        <w:ind w:left="1440" w:hanging="360"/>
      </w:pPr>
    </w:lvl>
    <w:lvl w:ilvl="2" w:tplc="20474774" w:tentative="1">
      <w:start w:val="1"/>
      <w:numFmt w:val="lowerRoman"/>
      <w:lvlText w:val="%3."/>
      <w:lvlJc w:val="right"/>
      <w:pPr>
        <w:ind w:left="2160" w:hanging="180"/>
      </w:pPr>
    </w:lvl>
    <w:lvl w:ilvl="3" w:tplc="20474774" w:tentative="1">
      <w:start w:val="1"/>
      <w:numFmt w:val="decimal"/>
      <w:lvlText w:val="%4."/>
      <w:lvlJc w:val="left"/>
      <w:pPr>
        <w:ind w:left="2880" w:hanging="360"/>
      </w:pPr>
    </w:lvl>
    <w:lvl w:ilvl="4" w:tplc="20474774" w:tentative="1">
      <w:start w:val="1"/>
      <w:numFmt w:val="lowerLetter"/>
      <w:lvlText w:val="%5."/>
      <w:lvlJc w:val="left"/>
      <w:pPr>
        <w:ind w:left="3600" w:hanging="360"/>
      </w:pPr>
    </w:lvl>
    <w:lvl w:ilvl="5" w:tplc="20474774" w:tentative="1">
      <w:start w:val="1"/>
      <w:numFmt w:val="lowerRoman"/>
      <w:lvlText w:val="%6."/>
      <w:lvlJc w:val="right"/>
      <w:pPr>
        <w:ind w:left="4320" w:hanging="180"/>
      </w:pPr>
    </w:lvl>
    <w:lvl w:ilvl="6" w:tplc="20474774" w:tentative="1">
      <w:start w:val="1"/>
      <w:numFmt w:val="decimal"/>
      <w:lvlText w:val="%7."/>
      <w:lvlJc w:val="left"/>
      <w:pPr>
        <w:ind w:left="5040" w:hanging="360"/>
      </w:pPr>
    </w:lvl>
    <w:lvl w:ilvl="7" w:tplc="20474774" w:tentative="1">
      <w:start w:val="1"/>
      <w:numFmt w:val="lowerLetter"/>
      <w:lvlText w:val="%8."/>
      <w:lvlJc w:val="left"/>
      <w:pPr>
        <w:ind w:left="5760" w:hanging="360"/>
      </w:pPr>
    </w:lvl>
    <w:lvl w:ilvl="8" w:tplc="20474774" w:tentative="1">
      <w:start w:val="1"/>
      <w:numFmt w:val="lowerRoman"/>
      <w:lvlText w:val="%9."/>
      <w:lvlJc w:val="right"/>
      <w:pPr>
        <w:ind w:left="6480" w:hanging="180"/>
      </w:pPr>
    </w:lvl>
  </w:abstractNum>
  <w:abstractNum w:abstractNumId="28599">
    <w:multiLevelType w:val="hybridMultilevel"/>
    <w:lvl w:ilvl="0" w:tplc="51716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424">
    <w:multiLevelType w:val="hybridMultilevel"/>
    <w:lvl w:ilvl="0" w:tplc="44560999">
      <w:start w:val="1"/>
      <w:numFmt w:val="decimal"/>
      <w:lvlText w:val="%1."/>
      <w:lvlJc w:val="left"/>
      <w:pPr>
        <w:ind w:left="720" w:hanging="360"/>
      </w:pPr>
    </w:lvl>
    <w:lvl w:ilvl="1" w:tplc="44560999" w:tentative="1">
      <w:start w:val="1"/>
      <w:numFmt w:val="lowerLetter"/>
      <w:lvlText w:val="%2."/>
      <w:lvlJc w:val="left"/>
      <w:pPr>
        <w:ind w:left="1440" w:hanging="360"/>
      </w:pPr>
    </w:lvl>
    <w:lvl w:ilvl="2" w:tplc="44560999" w:tentative="1">
      <w:start w:val="1"/>
      <w:numFmt w:val="lowerRoman"/>
      <w:lvlText w:val="%3."/>
      <w:lvlJc w:val="right"/>
      <w:pPr>
        <w:ind w:left="2160" w:hanging="180"/>
      </w:pPr>
    </w:lvl>
    <w:lvl w:ilvl="3" w:tplc="44560999" w:tentative="1">
      <w:start w:val="1"/>
      <w:numFmt w:val="decimal"/>
      <w:lvlText w:val="%4."/>
      <w:lvlJc w:val="left"/>
      <w:pPr>
        <w:ind w:left="2880" w:hanging="360"/>
      </w:pPr>
    </w:lvl>
    <w:lvl w:ilvl="4" w:tplc="44560999" w:tentative="1">
      <w:start w:val="1"/>
      <w:numFmt w:val="lowerLetter"/>
      <w:lvlText w:val="%5."/>
      <w:lvlJc w:val="left"/>
      <w:pPr>
        <w:ind w:left="3600" w:hanging="360"/>
      </w:pPr>
    </w:lvl>
    <w:lvl w:ilvl="5" w:tplc="44560999" w:tentative="1">
      <w:start w:val="1"/>
      <w:numFmt w:val="lowerRoman"/>
      <w:lvlText w:val="%6."/>
      <w:lvlJc w:val="right"/>
      <w:pPr>
        <w:ind w:left="4320" w:hanging="180"/>
      </w:pPr>
    </w:lvl>
    <w:lvl w:ilvl="6" w:tplc="44560999" w:tentative="1">
      <w:start w:val="1"/>
      <w:numFmt w:val="decimal"/>
      <w:lvlText w:val="%7."/>
      <w:lvlJc w:val="left"/>
      <w:pPr>
        <w:ind w:left="5040" w:hanging="360"/>
      </w:pPr>
    </w:lvl>
    <w:lvl w:ilvl="7" w:tplc="44560999" w:tentative="1">
      <w:start w:val="1"/>
      <w:numFmt w:val="lowerLetter"/>
      <w:lvlText w:val="%8."/>
      <w:lvlJc w:val="left"/>
      <w:pPr>
        <w:ind w:left="5760" w:hanging="360"/>
      </w:pPr>
    </w:lvl>
    <w:lvl w:ilvl="8" w:tplc="44560999" w:tentative="1">
      <w:start w:val="1"/>
      <w:numFmt w:val="lowerRoman"/>
      <w:lvlText w:val="%9."/>
      <w:lvlJc w:val="right"/>
      <w:pPr>
        <w:ind w:left="6480" w:hanging="180"/>
      </w:pPr>
    </w:lvl>
  </w:abstractNum>
  <w:abstractNum w:abstractNumId="19423">
    <w:multiLevelType w:val="hybridMultilevel"/>
    <w:lvl w:ilvl="0" w:tplc="649868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3D52C2E"/>
    <w:multiLevelType w:val="hybridMultilevel"/>
    <w:tmpl w:val="3FB0BCA2"/>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301B0"/>
    <w:multiLevelType w:val="hybridMultilevel"/>
    <w:tmpl w:val="2FB6BF9A"/>
    <w:lvl w:ilvl="0" w:tplc="62CA7BA6">
      <w:numFmt w:val="bullet"/>
      <w:pStyle w:val="Lijstalinea"/>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8DC1476"/>
    <w:multiLevelType w:val="hybridMultilevel"/>
    <w:tmpl w:val="28EEB15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26675D"/>
    <w:multiLevelType w:val="hybridMultilevel"/>
    <w:tmpl w:val="398AE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262BA7"/>
    <w:multiLevelType w:val="hybridMultilevel"/>
    <w:tmpl w:val="D8D04878"/>
    <w:lvl w:ilvl="0" w:tplc="85738942">
      <w:start w:val="1"/>
      <w:numFmt w:val="decimal"/>
      <w:lvlText w:val="%1."/>
      <w:lvlJc w:val="left"/>
      <w:pPr>
        <w:ind w:left="720" w:hanging="360"/>
      </w:pPr>
    </w:lvl>
    <w:lvl w:ilvl="1" w:tplc="85738942" w:tentative="1">
      <w:start w:val="1"/>
      <w:numFmt w:val="lowerLetter"/>
      <w:lvlText w:val="%2."/>
      <w:lvlJc w:val="left"/>
      <w:pPr>
        <w:ind w:left="1440" w:hanging="360"/>
      </w:pPr>
    </w:lvl>
    <w:lvl w:ilvl="2" w:tplc="85738942" w:tentative="1">
      <w:start w:val="1"/>
      <w:numFmt w:val="lowerRoman"/>
      <w:lvlText w:val="%3."/>
      <w:lvlJc w:val="right"/>
      <w:pPr>
        <w:ind w:left="2160" w:hanging="180"/>
      </w:pPr>
    </w:lvl>
    <w:lvl w:ilvl="3" w:tplc="85738942" w:tentative="1">
      <w:start w:val="1"/>
      <w:numFmt w:val="decimal"/>
      <w:lvlText w:val="%4."/>
      <w:lvlJc w:val="left"/>
      <w:pPr>
        <w:ind w:left="2880" w:hanging="360"/>
      </w:pPr>
    </w:lvl>
    <w:lvl w:ilvl="4" w:tplc="85738942" w:tentative="1">
      <w:start w:val="1"/>
      <w:numFmt w:val="lowerLetter"/>
      <w:lvlText w:val="%5."/>
      <w:lvlJc w:val="left"/>
      <w:pPr>
        <w:ind w:left="3600" w:hanging="360"/>
      </w:pPr>
    </w:lvl>
    <w:lvl w:ilvl="5" w:tplc="85738942" w:tentative="1">
      <w:start w:val="1"/>
      <w:numFmt w:val="lowerRoman"/>
      <w:lvlText w:val="%6."/>
      <w:lvlJc w:val="right"/>
      <w:pPr>
        <w:ind w:left="4320" w:hanging="180"/>
      </w:pPr>
    </w:lvl>
    <w:lvl w:ilvl="6" w:tplc="85738942" w:tentative="1">
      <w:start w:val="1"/>
      <w:numFmt w:val="decimal"/>
      <w:lvlText w:val="%7."/>
      <w:lvlJc w:val="left"/>
      <w:pPr>
        <w:ind w:left="5040" w:hanging="360"/>
      </w:pPr>
    </w:lvl>
    <w:lvl w:ilvl="7" w:tplc="85738942" w:tentative="1">
      <w:start w:val="1"/>
      <w:numFmt w:val="lowerLetter"/>
      <w:lvlText w:val="%8."/>
      <w:lvlJc w:val="left"/>
      <w:pPr>
        <w:ind w:left="5760" w:hanging="360"/>
      </w:pPr>
    </w:lvl>
    <w:lvl w:ilvl="8" w:tplc="85738942" w:tentative="1">
      <w:start w:val="1"/>
      <w:numFmt w:val="lowerRoman"/>
      <w:lvlText w:val="%9."/>
      <w:lvlJc w:val="right"/>
      <w:pPr>
        <w:ind w:left="6480" w:hanging="180"/>
      </w:pPr>
    </w:lvl>
  </w:abstractNum>
  <w:abstractNum w:abstractNumId="5" w15:restartNumberingAfterBreak="0">
    <w:nsid w:val="163B1737"/>
    <w:multiLevelType w:val="hybridMultilevel"/>
    <w:tmpl w:val="8CE4799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9E66CA"/>
    <w:multiLevelType w:val="hybridMultilevel"/>
    <w:tmpl w:val="291C76EC"/>
    <w:lvl w:ilvl="0" w:tplc="54C207E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4F6165"/>
    <w:multiLevelType w:val="hybridMultilevel"/>
    <w:tmpl w:val="415846A4"/>
    <w:lvl w:ilvl="0" w:tplc="60121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5E79B5"/>
    <w:multiLevelType w:val="hybridMultilevel"/>
    <w:tmpl w:val="DD94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A46304"/>
    <w:multiLevelType w:val="hybridMultilevel"/>
    <w:tmpl w:val="AADA1A04"/>
    <w:lvl w:ilvl="0" w:tplc="9310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713E51"/>
    <w:multiLevelType w:val="hybridMultilevel"/>
    <w:tmpl w:val="F2FAEE92"/>
    <w:lvl w:ilvl="0" w:tplc="5040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8F6110"/>
    <w:multiLevelType w:val="hybridMultilevel"/>
    <w:tmpl w:val="BB2AB1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2E3501"/>
    <w:multiLevelType w:val="hybridMultilevel"/>
    <w:tmpl w:val="6466134E"/>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095898"/>
    <w:multiLevelType w:val="hybridMultilevel"/>
    <w:tmpl w:val="2D3474F0"/>
    <w:lvl w:ilvl="0" w:tplc="83702299">
      <w:start w:val="1"/>
      <w:numFmt w:val="decimal"/>
      <w:lvlText w:val="%1."/>
      <w:lvlJc w:val="left"/>
      <w:pPr>
        <w:ind w:left="720" w:hanging="360"/>
      </w:pPr>
    </w:lvl>
    <w:lvl w:ilvl="1" w:tplc="83702299" w:tentative="1">
      <w:start w:val="1"/>
      <w:numFmt w:val="lowerLetter"/>
      <w:lvlText w:val="%2."/>
      <w:lvlJc w:val="left"/>
      <w:pPr>
        <w:ind w:left="1440" w:hanging="360"/>
      </w:pPr>
    </w:lvl>
    <w:lvl w:ilvl="2" w:tplc="83702299" w:tentative="1">
      <w:start w:val="1"/>
      <w:numFmt w:val="lowerRoman"/>
      <w:lvlText w:val="%3."/>
      <w:lvlJc w:val="right"/>
      <w:pPr>
        <w:ind w:left="2160" w:hanging="180"/>
      </w:pPr>
    </w:lvl>
    <w:lvl w:ilvl="3" w:tplc="83702299" w:tentative="1">
      <w:start w:val="1"/>
      <w:numFmt w:val="decimal"/>
      <w:lvlText w:val="%4."/>
      <w:lvlJc w:val="left"/>
      <w:pPr>
        <w:ind w:left="2880" w:hanging="360"/>
      </w:pPr>
    </w:lvl>
    <w:lvl w:ilvl="4" w:tplc="83702299" w:tentative="1">
      <w:start w:val="1"/>
      <w:numFmt w:val="lowerLetter"/>
      <w:lvlText w:val="%5."/>
      <w:lvlJc w:val="left"/>
      <w:pPr>
        <w:ind w:left="3600" w:hanging="360"/>
      </w:pPr>
    </w:lvl>
    <w:lvl w:ilvl="5" w:tplc="83702299" w:tentative="1">
      <w:start w:val="1"/>
      <w:numFmt w:val="lowerRoman"/>
      <w:lvlText w:val="%6."/>
      <w:lvlJc w:val="right"/>
      <w:pPr>
        <w:ind w:left="4320" w:hanging="180"/>
      </w:pPr>
    </w:lvl>
    <w:lvl w:ilvl="6" w:tplc="83702299" w:tentative="1">
      <w:start w:val="1"/>
      <w:numFmt w:val="decimal"/>
      <w:lvlText w:val="%7."/>
      <w:lvlJc w:val="left"/>
      <w:pPr>
        <w:ind w:left="5040" w:hanging="360"/>
      </w:pPr>
    </w:lvl>
    <w:lvl w:ilvl="7" w:tplc="83702299" w:tentative="1">
      <w:start w:val="1"/>
      <w:numFmt w:val="lowerLetter"/>
      <w:lvlText w:val="%8."/>
      <w:lvlJc w:val="left"/>
      <w:pPr>
        <w:ind w:left="5760" w:hanging="360"/>
      </w:pPr>
    </w:lvl>
    <w:lvl w:ilvl="8" w:tplc="83702299" w:tentative="1">
      <w:start w:val="1"/>
      <w:numFmt w:val="lowerRoman"/>
      <w:lvlText w:val="%9."/>
      <w:lvlJc w:val="right"/>
      <w:pPr>
        <w:ind w:left="6480" w:hanging="180"/>
      </w:pPr>
    </w:lvl>
  </w:abstractNum>
  <w:abstractNum w:abstractNumId="14" w15:restartNumberingAfterBreak="0">
    <w:nsid w:val="77E71F1A"/>
    <w:multiLevelType w:val="hybridMultilevel"/>
    <w:tmpl w:val="C9AC5B8E"/>
    <w:lvl w:ilvl="0" w:tplc="68191567">
      <w:start w:val="1"/>
      <w:numFmt w:val="decimal"/>
      <w:lvlText w:val="%1."/>
      <w:lvlJc w:val="left"/>
      <w:pPr>
        <w:ind w:left="720" w:hanging="360"/>
      </w:pPr>
    </w:lvl>
    <w:lvl w:ilvl="1" w:tplc="68191567" w:tentative="1">
      <w:start w:val="1"/>
      <w:numFmt w:val="lowerLetter"/>
      <w:lvlText w:val="%2."/>
      <w:lvlJc w:val="left"/>
      <w:pPr>
        <w:ind w:left="1440" w:hanging="360"/>
      </w:pPr>
    </w:lvl>
    <w:lvl w:ilvl="2" w:tplc="68191567" w:tentative="1">
      <w:start w:val="1"/>
      <w:numFmt w:val="lowerRoman"/>
      <w:lvlText w:val="%3."/>
      <w:lvlJc w:val="right"/>
      <w:pPr>
        <w:ind w:left="2160" w:hanging="180"/>
      </w:pPr>
    </w:lvl>
    <w:lvl w:ilvl="3" w:tplc="68191567" w:tentative="1">
      <w:start w:val="1"/>
      <w:numFmt w:val="decimal"/>
      <w:lvlText w:val="%4."/>
      <w:lvlJc w:val="left"/>
      <w:pPr>
        <w:ind w:left="2880" w:hanging="360"/>
      </w:pPr>
    </w:lvl>
    <w:lvl w:ilvl="4" w:tplc="68191567" w:tentative="1">
      <w:start w:val="1"/>
      <w:numFmt w:val="lowerLetter"/>
      <w:lvlText w:val="%5."/>
      <w:lvlJc w:val="left"/>
      <w:pPr>
        <w:ind w:left="3600" w:hanging="360"/>
      </w:pPr>
    </w:lvl>
    <w:lvl w:ilvl="5" w:tplc="68191567" w:tentative="1">
      <w:start w:val="1"/>
      <w:numFmt w:val="lowerRoman"/>
      <w:lvlText w:val="%6."/>
      <w:lvlJc w:val="right"/>
      <w:pPr>
        <w:ind w:left="4320" w:hanging="180"/>
      </w:pPr>
    </w:lvl>
    <w:lvl w:ilvl="6" w:tplc="68191567" w:tentative="1">
      <w:start w:val="1"/>
      <w:numFmt w:val="decimal"/>
      <w:lvlText w:val="%7."/>
      <w:lvlJc w:val="left"/>
      <w:pPr>
        <w:ind w:left="5040" w:hanging="360"/>
      </w:pPr>
    </w:lvl>
    <w:lvl w:ilvl="7" w:tplc="68191567" w:tentative="1">
      <w:start w:val="1"/>
      <w:numFmt w:val="lowerLetter"/>
      <w:lvlText w:val="%8."/>
      <w:lvlJc w:val="left"/>
      <w:pPr>
        <w:ind w:left="5760" w:hanging="360"/>
      </w:pPr>
    </w:lvl>
    <w:lvl w:ilvl="8" w:tplc="68191567" w:tentative="1">
      <w:start w:val="1"/>
      <w:numFmt w:val="lowerRoman"/>
      <w:lvlText w:val="%9."/>
      <w:lvlJc w:val="right"/>
      <w:pPr>
        <w:ind w:left="6480" w:hanging="180"/>
      </w:pPr>
    </w:lvl>
  </w:abstractNum>
  <w:num w:numId="1" w16cid:durableId="1362316741">
    <w:abstractNumId w:val="3"/>
  </w:num>
  <w:num w:numId="2" w16cid:durableId="805926550">
    <w:abstractNumId w:val="11"/>
  </w:num>
  <w:num w:numId="3" w16cid:durableId="2059282973">
    <w:abstractNumId w:val="9"/>
  </w:num>
  <w:num w:numId="4" w16cid:durableId="2034914938">
    <w:abstractNumId w:val="14"/>
  </w:num>
  <w:num w:numId="5" w16cid:durableId="318537038">
    <w:abstractNumId w:val="10"/>
  </w:num>
  <w:num w:numId="6" w16cid:durableId="475076577">
    <w:abstractNumId w:val="4"/>
  </w:num>
  <w:num w:numId="7" w16cid:durableId="606544926">
    <w:abstractNumId w:val="7"/>
  </w:num>
  <w:num w:numId="8" w16cid:durableId="1960602445">
    <w:abstractNumId w:val="13"/>
  </w:num>
  <w:num w:numId="9" w16cid:durableId="616444760">
    <w:abstractNumId w:val="8"/>
  </w:num>
  <w:num w:numId="10" w16cid:durableId="684865036">
    <w:abstractNumId w:val="12"/>
  </w:num>
  <w:num w:numId="11" w16cid:durableId="1503736227">
    <w:abstractNumId w:val="6"/>
  </w:num>
  <w:num w:numId="12" w16cid:durableId="1773551706">
    <w:abstractNumId w:val="0"/>
  </w:num>
  <w:num w:numId="13" w16cid:durableId="1798570485">
    <w:abstractNumId w:val="2"/>
  </w:num>
  <w:num w:numId="14" w16cid:durableId="1811244095">
    <w:abstractNumId w:val="5"/>
  </w:num>
  <w:num w:numId="15" w16cid:durableId="1758207729">
    <w:abstractNumId w:val="1"/>
  </w:num>
  <w:num w:numId="19423">
    <w:abstractNumId w:val="19423"/>
  </w:num>
  <w:num w:numId="19424">
    <w:abstractNumId w:val="19424"/>
  </w:num>
  <w:num w:numId="28599">
    <w:abstractNumId w:val="28599"/>
  </w:num>
  <w:num w:numId="28600">
    <w:abstractNumId w:val="28600"/>
  </w:num>
  <w:num w:numId="918339207">
    <w:abstractNumId w:val="918339207"/>
  </w:num>
  <w:num w:numId="400909358">
    <w:abstractNumId w:val="400909358"/>
  </w:num>
  <w:num w:numId="345164457">
    <w:abstractNumId w:val="345164457"/>
  </w:num>
  <w:num w:numId="391161275">
    <w:abstractNumId w:val="391161275"/>
  </w:num>
  <w:num w:numId="69420214">
    <w:abstractNumId w:val="69420214"/>
  </w:num>
  <w:num w:numId="856964107">
    <w:abstractNumId w:val="856964107"/>
  </w:num>
  <w:num w:numId="899416294">
    <w:abstractNumId w:val="899416294"/>
  </w:num>
  <w:num w:numId="384144698">
    <w:abstractNumId w:val="384144698"/>
  </w:num>
  <w:num w:numId="583863219">
    <w:abstractNumId w:val="583863219"/>
  </w:num>
  <w:num w:numId="12902">
    <w:abstractNumId w:val="12902"/>
  </w:num>
  <w:num w:numId="16239">
    <w:abstractNumId w:val="16239"/>
  </w:num>
  <w:num w:numId="16240">
    <w:abstractNumId w:val="162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45"/>
    <w:rsid w:val="00033E7C"/>
    <w:rsid w:val="0003462C"/>
    <w:rsid w:val="000453D3"/>
    <w:rsid w:val="00054CF5"/>
    <w:rsid w:val="00060D57"/>
    <w:rsid w:val="00062552"/>
    <w:rsid w:val="000632E3"/>
    <w:rsid w:val="00067AD1"/>
    <w:rsid w:val="000729BA"/>
    <w:rsid w:val="000862E5"/>
    <w:rsid w:val="000D0020"/>
    <w:rsid w:val="000E684A"/>
    <w:rsid w:val="0010513F"/>
    <w:rsid w:val="00113255"/>
    <w:rsid w:val="001147E9"/>
    <w:rsid w:val="001171DF"/>
    <w:rsid w:val="00134B7E"/>
    <w:rsid w:val="00161314"/>
    <w:rsid w:val="001816A3"/>
    <w:rsid w:val="00182640"/>
    <w:rsid w:val="00195293"/>
    <w:rsid w:val="001D032F"/>
    <w:rsid w:val="001E0122"/>
    <w:rsid w:val="00201AD4"/>
    <w:rsid w:val="002274D4"/>
    <w:rsid w:val="0024780B"/>
    <w:rsid w:val="00260E83"/>
    <w:rsid w:val="002A0E27"/>
    <w:rsid w:val="002B5585"/>
    <w:rsid w:val="002D712A"/>
    <w:rsid w:val="002F736B"/>
    <w:rsid w:val="003022DD"/>
    <w:rsid w:val="003320CC"/>
    <w:rsid w:val="003710D5"/>
    <w:rsid w:val="00373285"/>
    <w:rsid w:val="003B20FC"/>
    <w:rsid w:val="003C149D"/>
    <w:rsid w:val="003E7348"/>
    <w:rsid w:val="003E7460"/>
    <w:rsid w:val="004100B6"/>
    <w:rsid w:val="00415797"/>
    <w:rsid w:val="004257F8"/>
    <w:rsid w:val="0043245F"/>
    <w:rsid w:val="00451FA2"/>
    <w:rsid w:val="004522AD"/>
    <w:rsid w:val="004620DD"/>
    <w:rsid w:val="00485E48"/>
    <w:rsid w:val="0048779D"/>
    <w:rsid w:val="004924DB"/>
    <w:rsid w:val="004C22C7"/>
    <w:rsid w:val="004F03B5"/>
    <w:rsid w:val="005038B5"/>
    <w:rsid w:val="00504E13"/>
    <w:rsid w:val="00523D2B"/>
    <w:rsid w:val="00524C28"/>
    <w:rsid w:val="00531D74"/>
    <w:rsid w:val="005321F8"/>
    <w:rsid w:val="005334FA"/>
    <w:rsid w:val="005423AE"/>
    <w:rsid w:val="00545768"/>
    <w:rsid w:val="00553899"/>
    <w:rsid w:val="00557538"/>
    <w:rsid w:val="00561759"/>
    <w:rsid w:val="0056592C"/>
    <w:rsid w:val="0056675F"/>
    <w:rsid w:val="00571391"/>
    <w:rsid w:val="00574AEF"/>
    <w:rsid w:val="005832FE"/>
    <w:rsid w:val="00583CA5"/>
    <w:rsid w:val="0059761E"/>
    <w:rsid w:val="005B63D3"/>
    <w:rsid w:val="005C6F83"/>
    <w:rsid w:val="005D4940"/>
    <w:rsid w:val="00614785"/>
    <w:rsid w:val="0062180A"/>
    <w:rsid w:val="006219A5"/>
    <w:rsid w:val="006269AF"/>
    <w:rsid w:val="00656408"/>
    <w:rsid w:val="006A1CBB"/>
    <w:rsid w:val="006A7B83"/>
    <w:rsid w:val="006D0229"/>
    <w:rsid w:val="006D78D6"/>
    <w:rsid w:val="006F51BB"/>
    <w:rsid w:val="00704CFA"/>
    <w:rsid w:val="00706424"/>
    <w:rsid w:val="007110AD"/>
    <w:rsid w:val="00752E67"/>
    <w:rsid w:val="00753257"/>
    <w:rsid w:val="007B7340"/>
    <w:rsid w:val="007C23D5"/>
    <w:rsid w:val="007C721C"/>
    <w:rsid w:val="007F1CC5"/>
    <w:rsid w:val="00820E23"/>
    <w:rsid w:val="00842DE4"/>
    <w:rsid w:val="00870EDF"/>
    <w:rsid w:val="008854CC"/>
    <w:rsid w:val="008A0EA0"/>
    <w:rsid w:val="008F2B7D"/>
    <w:rsid w:val="00914C7A"/>
    <w:rsid w:val="00920108"/>
    <w:rsid w:val="00950AB0"/>
    <w:rsid w:val="00954682"/>
    <w:rsid w:val="009601FB"/>
    <w:rsid w:val="0096716A"/>
    <w:rsid w:val="009771F0"/>
    <w:rsid w:val="00985D28"/>
    <w:rsid w:val="009A0F4A"/>
    <w:rsid w:val="009A236D"/>
    <w:rsid w:val="009E5AC2"/>
    <w:rsid w:val="009E7CA4"/>
    <w:rsid w:val="009F4B29"/>
    <w:rsid w:val="00A06397"/>
    <w:rsid w:val="00A22991"/>
    <w:rsid w:val="00A2763A"/>
    <w:rsid w:val="00A540D8"/>
    <w:rsid w:val="00A934CA"/>
    <w:rsid w:val="00AB26B9"/>
    <w:rsid w:val="00AB2EE3"/>
    <w:rsid w:val="00AB4404"/>
    <w:rsid w:val="00AB7A47"/>
    <w:rsid w:val="00AF0135"/>
    <w:rsid w:val="00B263FE"/>
    <w:rsid w:val="00B26C1D"/>
    <w:rsid w:val="00B33159"/>
    <w:rsid w:val="00B52624"/>
    <w:rsid w:val="00B53E50"/>
    <w:rsid w:val="00B659B6"/>
    <w:rsid w:val="00B74947"/>
    <w:rsid w:val="00B76602"/>
    <w:rsid w:val="00B819F8"/>
    <w:rsid w:val="00B93C83"/>
    <w:rsid w:val="00B93E92"/>
    <w:rsid w:val="00BA7AAB"/>
    <w:rsid w:val="00BB4729"/>
    <w:rsid w:val="00BB72A5"/>
    <w:rsid w:val="00BD25A6"/>
    <w:rsid w:val="00BD497D"/>
    <w:rsid w:val="00BD554E"/>
    <w:rsid w:val="00BE7C2A"/>
    <w:rsid w:val="00BF7909"/>
    <w:rsid w:val="00C04844"/>
    <w:rsid w:val="00C0744D"/>
    <w:rsid w:val="00C11245"/>
    <w:rsid w:val="00C165A1"/>
    <w:rsid w:val="00C26959"/>
    <w:rsid w:val="00C26D7B"/>
    <w:rsid w:val="00C3668C"/>
    <w:rsid w:val="00C80940"/>
    <w:rsid w:val="00C829D0"/>
    <w:rsid w:val="00CA4726"/>
    <w:rsid w:val="00CA7213"/>
    <w:rsid w:val="00CB044A"/>
    <w:rsid w:val="00CB225E"/>
    <w:rsid w:val="00CB6943"/>
    <w:rsid w:val="00CC16B5"/>
    <w:rsid w:val="00CC7B0C"/>
    <w:rsid w:val="00CE6C9A"/>
    <w:rsid w:val="00D35253"/>
    <w:rsid w:val="00D42868"/>
    <w:rsid w:val="00D542AD"/>
    <w:rsid w:val="00D666D4"/>
    <w:rsid w:val="00D70A13"/>
    <w:rsid w:val="00D73DD6"/>
    <w:rsid w:val="00D76FB9"/>
    <w:rsid w:val="00D8777F"/>
    <w:rsid w:val="00D9396D"/>
    <w:rsid w:val="00DA49C9"/>
    <w:rsid w:val="00DB3FC0"/>
    <w:rsid w:val="00DD6932"/>
    <w:rsid w:val="00DF7EBB"/>
    <w:rsid w:val="00E33E79"/>
    <w:rsid w:val="00E44970"/>
    <w:rsid w:val="00E771B7"/>
    <w:rsid w:val="00E83D3B"/>
    <w:rsid w:val="00E90BA4"/>
    <w:rsid w:val="00E90F70"/>
    <w:rsid w:val="00E91EEC"/>
    <w:rsid w:val="00EA32D5"/>
    <w:rsid w:val="00EB23BB"/>
    <w:rsid w:val="00EC1946"/>
    <w:rsid w:val="00EC627E"/>
    <w:rsid w:val="00F11C32"/>
    <w:rsid w:val="00F216EF"/>
    <w:rsid w:val="00F4708E"/>
    <w:rsid w:val="00F74C43"/>
    <w:rsid w:val="00F91B06"/>
    <w:rsid w:val="00FA5570"/>
    <w:rsid w:val="00FD1C60"/>
    <w:rsid w:val="00FD56DC"/>
    <w:rsid w:val="00FE0DC1"/>
    <w:rsid w:val="00FE2C1A"/>
  </w:rsids>
  <m:mathPr>
    <m:mathFont m:val="Cambria Math"/>
    <m:brkBin m:val="before"/>
    <m:brkBinSub m:val="--"/>
    <m:smallFrac m:val="0"/>
    <m:dispDef/>
    <m:lMargin m:val="0"/>
    <m:rMargin m:val="0"/>
    <m:defJc m:val="centerGroup"/>
    <m:wrapIndent m:val="1440"/>
    <m:intLim m:val="subSup"/>
    <m:naryLim m:val="undOvr"/>
  </m:mathPr>
  <w:themeFontLang w:val="en_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224A"/>
  <w15:docId w15:val="{C4814321-E7D8-45F5-AB16-B79346A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_GB" w:eastAsia="en_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FC0"/>
  </w:style>
  <w:style w:type="paragraph" w:styleId="Kop1">
    <w:name w:val="heading 1"/>
    <w:basedOn w:val="Geenafstand"/>
    <w:next w:val="Standaard"/>
    <w:link w:val="Kop1Char"/>
    <w:uiPriority w:val="9"/>
    <w:qFormat/>
    <w:rsid w:val="00D76FB9"/>
    <w:pPr>
      <w:outlineLvl w:val="0"/>
    </w:pPr>
    <w:rPr>
      <w:b/>
      <w:noProof/>
      <w:color w:val="142F4B"/>
      <w:sz w:val="28"/>
    </w:rPr>
  </w:style>
  <w:style w:type="paragraph" w:styleId="Kop2">
    <w:name w:val="heading 2"/>
    <w:basedOn w:val="Geenafstand"/>
    <w:next w:val="Standaard"/>
    <w:link w:val="Kop2Char"/>
    <w:uiPriority w:val="9"/>
    <w:unhideWhenUsed/>
    <w:qFormat/>
    <w:rsid w:val="00161314"/>
    <w:pPr>
      <w:outlineLvl w:val="1"/>
    </w:pPr>
    <w:rPr>
      <w:b/>
      <w:noProof/>
      <w:color w:val="142F4B"/>
      <w:sz w:val="24"/>
      <w:lang w:val="nl-NL"/>
    </w:rPr>
  </w:style>
  <w:style w:type="paragraph" w:styleId="Kop3">
    <w:name w:val="heading 3"/>
    <w:basedOn w:val="Kop2"/>
    <w:next w:val="Standaard"/>
    <w:link w:val="Kop3Char"/>
    <w:uiPriority w:val="9"/>
    <w:unhideWhenUsed/>
    <w:qFormat/>
    <w:rsid w:val="00B76602"/>
    <w:pPr>
      <w:outlineLvl w:val="2"/>
    </w:pPr>
    <w:rPr>
      <w:i/>
    </w:rPr>
  </w:style>
  <w:style w:type="paragraph" w:styleId="Kop4">
    <w:name w:val="heading 4"/>
    <w:basedOn w:val="Kop3"/>
    <w:next w:val="Standaard"/>
    <w:link w:val="Kop4Char"/>
    <w:uiPriority w:val="9"/>
    <w:unhideWhenUsed/>
    <w:qFormat/>
    <w:rsid w:val="00161314"/>
    <w:pPr>
      <w:outlineLvl w:val="3"/>
    </w:pPr>
  </w:style>
  <w:style w:type="paragraph" w:styleId="Kop5">
    <w:name w:val="heading 5"/>
    <w:basedOn w:val="Kop4"/>
    <w:next w:val="Standaard"/>
    <w:link w:val="Kop5Char"/>
    <w:uiPriority w:val="9"/>
    <w:unhideWhenUsed/>
    <w:qFormat/>
    <w:rsid w:val="00161314"/>
    <w:pPr>
      <w:outlineLvl w:val="4"/>
    </w:pPr>
  </w:style>
  <w:style w:type="paragraph" w:styleId="Kop6">
    <w:name w:val="heading 6"/>
    <w:basedOn w:val="Kop5"/>
    <w:next w:val="Standaard"/>
    <w:link w:val="Kop6Char"/>
    <w:uiPriority w:val="9"/>
    <w:unhideWhenUsed/>
    <w:qFormat/>
    <w:rsid w:val="00161314"/>
    <w:pPr>
      <w:outlineLvl w:val="5"/>
    </w:pPr>
  </w:style>
  <w:style w:type="paragraph" w:styleId="Kop7">
    <w:name w:val="heading 7"/>
    <w:basedOn w:val="Kop6"/>
    <w:next w:val="Standaard"/>
    <w:link w:val="Kop7Char"/>
    <w:uiPriority w:val="9"/>
    <w:unhideWhenUsed/>
    <w:qFormat/>
    <w:rsid w:val="00161314"/>
    <w:pPr>
      <w:outlineLvl w:val="6"/>
    </w:pPr>
  </w:style>
  <w:style w:type="paragraph" w:styleId="Kop8">
    <w:name w:val="heading 8"/>
    <w:basedOn w:val="Kop7"/>
    <w:next w:val="Standaard"/>
    <w:link w:val="Kop8Char"/>
    <w:uiPriority w:val="9"/>
    <w:unhideWhenUsed/>
    <w:qFormat/>
    <w:rsid w:val="00161314"/>
    <w:pPr>
      <w:outlineLvl w:val="7"/>
    </w:pPr>
  </w:style>
  <w:style w:type="paragraph" w:styleId="Kop9">
    <w:name w:val="heading 9"/>
    <w:basedOn w:val="Kop8"/>
    <w:next w:val="Standaard"/>
    <w:link w:val="Kop9Char"/>
    <w:uiPriority w:val="9"/>
    <w:unhideWhenUsed/>
    <w:qFormat/>
    <w:rsid w:val="00161314"/>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585"/>
    <w:rPr>
      <w:b/>
      <w:noProof/>
      <w:color w:val="142F4B"/>
      <w:sz w:val="28"/>
    </w:rPr>
  </w:style>
  <w:style w:type="character" w:customStyle="1" w:styleId="Kop2Char">
    <w:name w:val="Kop 2 Char"/>
    <w:basedOn w:val="Standaardalinea-lettertype"/>
    <w:link w:val="Kop2"/>
    <w:uiPriority w:val="9"/>
    <w:rsid w:val="00161314"/>
    <w:rPr>
      <w:b/>
      <w:noProof/>
      <w:color w:val="142F4B"/>
      <w:sz w:val="24"/>
      <w:lang w:val="nl-NL"/>
    </w:rPr>
  </w:style>
  <w:style w:type="character" w:customStyle="1" w:styleId="Kop3Char">
    <w:name w:val="Kop 3 Char"/>
    <w:basedOn w:val="Standaardalinea-lettertype"/>
    <w:link w:val="Kop3"/>
    <w:uiPriority w:val="9"/>
    <w:rsid w:val="00B76602"/>
    <w:rPr>
      <w:b/>
      <w:i/>
      <w:noProof/>
      <w:color w:val="142F4B"/>
      <w:sz w:val="24"/>
      <w:lang w:val="nl-NL"/>
    </w:rPr>
  </w:style>
  <w:style w:type="character" w:customStyle="1" w:styleId="Kop4Char">
    <w:name w:val="Kop 4 Char"/>
    <w:basedOn w:val="Standaardalinea-lettertype"/>
    <w:link w:val="Kop4"/>
    <w:uiPriority w:val="9"/>
    <w:rsid w:val="00161314"/>
    <w:rPr>
      <w:noProof/>
      <w:lang w:val="nl-NL"/>
    </w:rPr>
  </w:style>
  <w:style w:type="character" w:customStyle="1" w:styleId="Kop5Char">
    <w:name w:val="Kop 5 Char"/>
    <w:basedOn w:val="Standaardalinea-lettertype"/>
    <w:link w:val="Kop5"/>
    <w:uiPriority w:val="9"/>
    <w:rsid w:val="00161314"/>
    <w:rPr>
      <w:noProof/>
      <w:lang w:val="nl-NL"/>
    </w:rPr>
  </w:style>
  <w:style w:type="character" w:customStyle="1" w:styleId="Kop6Char">
    <w:name w:val="Kop 6 Char"/>
    <w:basedOn w:val="Standaardalinea-lettertype"/>
    <w:link w:val="Kop6"/>
    <w:uiPriority w:val="9"/>
    <w:rsid w:val="00161314"/>
    <w:rPr>
      <w:noProof/>
      <w:lang w:val="nl-NL"/>
    </w:rPr>
  </w:style>
  <w:style w:type="paragraph" w:styleId="Titel">
    <w:name w:val="Title"/>
    <w:basedOn w:val="Standaard"/>
    <w:next w:val="Standaard"/>
    <w:link w:val="TitelChar"/>
    <w:uiPriority w:val="10"/>
    <w:qFormat/>
    <w:rsid w:val="0056592C"/>
    <w:pPr>
      <w:pBdr>
        <w:bottom w:val="single" w:sz="8" w:space="4" w:color="142F4B"/>
      </w:pBdr>
      <w:spacing w:after="120" w:line="240" w:lineRule="auto"/>
      <w:contextualSpacing/>
    </w:pPr>
    <w:rPr>
      <w:rFonts w:eastAsiaTheme="majorEastAsia" w:cstheme="majorBidi"/>
      <w:color w:val="142F4B"/>
      <w:spacing w:val="5"/>
      <w:kern w:val="28"/>
      <w:sz w:val="36"/>
      <w:szCs w:val="52"/>
    </w:rPr>
  </w:style>
  <w:style w:type="character" w:customStyle="1" w:styleId="TitelChar">
    <w:name w:val="Titel Char"/>
    <w:basedOn w:val="Standaardalinea-lettertype"/>
    <w:link w:val="Titel"/>
    <w:uiPriority w:val="10"/>
    <w:rsid w:val="0056592C"/>
    <w:rPr>
      <w:rFonts w:eastAsiaTheme="majorEastAsia" w:cstheme="majorBidi"/>
      <w:color w:val="142F4B"/>
      <w:spacing w:val="5"/>
      <w:kern w:val="28"/>
      <w:sz w:val="36"/>
      <w:szCs w:val="52"/>
    </w:rPr>
  </w:style>
  <w:style w:type="paragraph" w:styleId="Ondertitel">
    <w:name w:val="Subtitle"/>
    <w:basedOn w:val="Standaard"/>
    <w:next w:val="Standaard"/>
    <w:link w:val="OndertitelChar"/>
    <w:uiPriority w:val="11"/>
    <w:qFormat/>
    <w:rsid w:val="00C11245"/>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C11245"/>
    <w:rPr>
      <w:rFonts w:asciiTheme="majorHAnsi" w:eastAsiaTheme="majorEastAsia" w:hAnsiTheme="majorHAnsi" w:cstheme="majorBidi"/>
      <w:i/>
      <w:iCs/>
      <w:color w:val="4F81BD" w:themeColor="accent1"/>
      <w:spacing w:val="15"/>
      <w:szCs w:val="24"/>
    </w:rPr>
  </w:style>
  <w:style w:type="paragraph" w:styleId="Lijstalinea">
    <w:name w:val="List Paragraph"/>
    <w:basedOn w:val="Standaard"/>
    <w:uiPriority w:val="34"/>
    <w:qFormat/>
    <w:rsid w:val="003B20FC"/>
    <w:pPr>
      <w:numPr>
        <w:numId w:val="15"/>
      </w:numPr>
      <w:contextualSpacing/>
    </w:pPr>
  </w:style>
  <w:style w:type="paragraph" w:styleId="Koptekst">
    <w:name w:val="header"/>
    <w:basedOn w:val="Standaard"/>
    <w:link w:val="KoptekstChar"/>
    <w:uiPriority w:val="99"/>
    <w:unhideWhenUsed/>
    <w:rsid w:val="00C11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245"/>
  </w:style>
  <w:style w:type="character" w:customStyle="1" w:styleId="Kop7Char">
    <w:name w:val="Kop 7 Char"/>
    <w:basedOn w:val="Standaardalinea-lettertype"/>
    <w:link w:val="Kop7"/>
    <w:uiPriority w:val="9"/>
    <w:rsid w:val="00161314"/>
    <w:rPr>
      <w:noProof/>
      <w:lang w:val="nl-NL"/>
    </w:rPr>
  </w:style>
  <w:style w:type="paragraph" w:customStyle="1" w:styleId="TOCTitel">
    <w:name w:val="TOCTitel"/>
    <w:basedOn w:val="Kop1"/>
    <w:link w:val="TOCTitelChar"/>
    <w:rsid w:val="009601FB"/>
    <w:pPr>
      <w:spacing w:before="120" w:after="120"/>
      <w:outlineLvl w:val="9"/>
    </w:pPr>
    <w:rPr>
      <w:rFonts w:ascii="Calibri Light" w:hAnsi="Calibri Light"/>
      <w:b w:val="0"/>
      <w:bCs/>
      <w:sz w:val="32"/>
      <w:szCs w:val="26"/>
    </w:rPr>
  </w:style>
  <w:style w:type="character" w:customStyle="1" w:styleId="TOCTitelChar">
    <w:name w:val="TOCTitel Char"/>
    <w:basedOn w:val="Standaardalinea-lettertype"/>
    <w:link w:val="TOCTitel"/>
    <w:rsid w:val="009601FB"/>
    <w:rPr>
      <w:rFonts w:ascii="Calibri Light" w:eastAsiaTheme="majorEastAsia" w:hAnsi="Calibri Light" w:cstheme="majorBidi"/>
      <w:color w:val="365F91" w:themeColor="accent1" w:themeShade="BF"/>
      <w:sz w:val="32"/>
      <w:szCs w:val="26"/>
    </w:rPr>
  </w:style>
  <w:style w:type="character" w:styleId="Hyperlink">
    <w:name w:val="Hyperlink"/>
    <w:basedOn w:val="Standaardalinea-lettertype"/>
    <w:uiPriority w:val="99"/>
    <w:unhideWhenUsed/>
    <w:rsid w:val="00B93C83"/>
    <w:rPr>
      <w:color w:val="0000FF" w:themeColor="hyperlink"/>
      <w:u w:val="single"/>
    </w:rPr>
  </w:style>
  <w:style w:type="character" w:customStyle="1" w:styleId="apple-converted-space">
    <w:name w:val="apple-converted-space"/>
    <w:basedOn w:val="Standaardalinea-lettertype"/>
    <w:rsid w:val="00656408"/>
  </w:style>
  <w:style w:type="character" w:styleId="GevolgdeHyperlink">
    <w:name w:val="FollowedHyperlink"/>
    <w:basedOn w:val="Standaardalinea-lettertype"/>
    <w:uiPriority w:val="99"/>
    <w:semiHidden/>
    <w:unhideWhenUsed/>
    <w:rsid w:val="006219A5"/>
    <w:rPr>
      <w:color w:val="800080" w:themeColor="followedHyperlink"/>
      <w:u w:val="single"/>
    </w:rPr>
  </w:style>
  <w:style w:type="paragraph" w:styleId="Geenafstand">
    <w:name w:val="No Spacing"/>
    <w:uiPriority w:val="1"/>
    <w:qFormat/>
    <w:rsid w:val="00FD56DC"/>
    <w:pPr>
      <w:spacing w:after="0" w:line="240" w:lineRule="auto"/>
    </w:pPr>
  </w:style>
  <w:style w:type="paragraph" w:styleId="Ballontekst">
    <w:name w:val="Balloon Text"/>
    <w:basedOn w:val="Standaard"/>
    <w:link w:val="BallontekstChar"/>
    <w:uiPriority w:val="99"/>
    <w:semiHidden/>
    <w:unhideWhenUsed/>
    <w:rsid w:val="00583C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CA5"/>
    <w:rPr>
      <w:rFonts w:ascii="Segoe UI" w:hAnsi="Segoe UI" w:cs="Segoe UI"/>
      <w:sz w:val="18"/>
      <w:szCs w:val="18"/>
    </w:rPr>
  </w:style>
  <w:style w:type="character" w:customStyle="1" w:styleId="DefaultParagraphFontPHPDOCX">
    <w:name w:val="Default Paragraph Font PHPDOCX"/>
    <w:uiPriority w:val="1"/>
    <w:semiHidden/>
    <w:unhideWhenUsed/>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1"/>
    <w:link w:val="annotationtextPHPDOCX"/>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1"/>
    <w:link w:val="BalloonTextPHPDOCX"/>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1"/>
    <w:link w:val="footnoteTextPHPDOCX"/>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1"/>
    <w:link w:val="endnoteTextPHPDOCX"/>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styleId="Tabelraster">
    <w:name w:val="Table Grid"/>
    <w:basedOn w:val="Standaardtabel"/>
    <w:uiPriority w:val="59"/>
    <w:rsid w:val="0056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9E7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Artikel">
    <w:name w:val="TOCArtikel"/>
    <w:basedOn w:val="Standaard"/>
    <w:link w:val="TOCArtikelChar"/>
    <w:rsid w:val="00415797"/>
    <w:pPr>
      <w:spacing w:after="0"/>
    </w:pPr>
    <w:rPr>
      <w:sz w:val="24"/>
      <w:lang w:val="nl-NL"/>
    </w:rPr>
  </w:style>
  <w:style w:type="character" w:customStyle="1" w:styleId="TOCArtikelChar">
    <w:name w:val="TOCArtikel Char"/>
    <w:basedOn w:val="Standaardalinea-lettertype"/>
    <w:link w:val="TOCArtikel"/>
    <w:rsid w:val="00415797"/>
    <w:rPr>
      <w:sz w:val="24"/>
      <w:lang w:val="nl-NL"/>
    </w:rPr>
  </w:style>
  <w:style w:type="paragraph" w:customStyle="1" w:styleId="TOCCategorie">
    <w:name w:val="TOCCategorie"/>
    <w:basedOn w:val="Standaard"/>
    <w:link w:val="TOCCategorieChar"/>
    <w:rsid w:val="005C6F83"/>
    <w:pPr>
      <w:spacing w:before="120" w:after="120"/>
    </w:pPr>
    <w:rPr>
      <w:b/>
      <w:bCs/>
      <w:sz w:val="24"/>
      <w:szCs w:val="26"/>
      <w:lang w:val="nl-NL"/>
    </w:rPr>
  </w:style>
  <w:style w:type="character" w:customStyle="1" w:styleId="TOCCategorieChar">
    <w:name w:val="TOCCategorie Char"/>
    <w:basedOn w:val="TOCArtikelChar"/>
    <w:link w:val="TOCCategorie"/>
    <w:rsid w:val="005C6F83"/>
    <w:rPr>
      <w:b/>
      <w:bCs/>
      <w:sz w:val="24"/>
      <w:szCs w:val="26"/>
      <w:lang w:val="nl-NL"/>
    </w:rPr>
  </w:style>
  <w:style w:type="table" w:styleId="Onopgemaaktetabel2">
    <w:name w:val="Plain Table 2"/>
    <w:basedOn w:val="Standaardtabel"/>
    <w:uiPriority w:val="42"/>
    <w:rsid w:val="00D54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voorafopgemaakt">
    <w:name w:val="HTML Preformatted"/>
    <w:basedOn w:val="Standaard"/>
    <w:link w:val="HTML-voorafopgemaaktChar"/>
    <w:uiPriority w:val="99"/>
    <w:semiHidden/>
    <w:unhideWhenUsed/>
    <w:rsid w:val="005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545768"/>
    <w:rPr>
      <w:rFonts w:ascii="Courier New" w:eastAsia="Times New Roman" w:hAnsi="Courier New" w:cs="Courier New"/>
      <w:sz w:val="20"/>
      <w:szCs w:val="20"/>
      <w:lang w:val="nl-NL" w:eastAsia="nl-NL"/>
    </w:rPr>
  </w:style>
  <w:style w:type="character" w:customStyle="1" w:styleId="Kop8Char">
    <w:name w:val="Kop 8 Char"/>
    <w:basedOn w:val="Standaardalinea-lettertype"/>
    <w:link w:val="Kop8"/>
    <w:uiPriority w:val="9"/>
    <w:rsid w:val="00161314"/>
    <w:rPr>
      <w:noProof/>
      <w:lang w:val="nl-NL"/>
    </w:rPr>
  </w:style>
  <w:style w:type="character" w:customStyle="1" w:styleId="Kop9Char">
    <w:name w:val="Kop 9 Char"/>
    <w:basedOn w:val="Standaardalinea-lettertype"/>
    <w:link w:val="Kop9"/>
    <w:uiPriority w:val="9"/>
    <w:rsid w:val="00161314"/>
    <w:rPr>
      <w:noProof/>
      <w:lang w:val="nl-N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12786">
      <w:bodyDiv w:val="1"/>
      <w:marLeft w:val="0"/>
      <w:marRight w:val="0"/>
      <w:marTop w:val="0"/>
      <w:marBottom w:val="0"/>
      <w:divBdr>
        <w:top w:val="none" w:sz="0" w:space="0" w:color="auto"/>
        <w:left w:val="none" w:sz="0" w:space="0" w:color="auto"/>
        <w:bottom w:val="none" w:sz="0" w:space="0" w:color="auto"/>
        <w:right w:val="none" w:sz="0" w:space="0" w:color="auto"/>
      </w:divBdr>
    </w:div>
    <w:div w:id="504978922">
      <w:bodyDiv w:val="1"/>
      <w:marLeft w:val="0"/>
      <w:marRight w:val="0"/>
      <w:marTop w:val="0"/>
      <w:marBottom w:val="0"/>
      <w:divBdr>
        <w:top w:val="none" w:sz="0" w:space="0" w:color="auto"/>
        <w:left w:val="none" w:sz="0" w:space="0" w:color="auto"/>
        <w:bottom w:val="none" w:sz="0" w:space="0" w:color="auto"/>
        <w:right w:val="none" w:sz="0" w:space="0" w:color="auto"/>
      </w:divBdr>
    </w:div>
    <w:div w:id="600407541">
      <w:bodyDiv w:val="1"/>
      <w:marLeft w:val="0"/>
      <w:marRight w:val="0"/>
      <w:marTop w:val="0"/>
      <w:marBottom w:val="0"/>
      <w:divBdr>
        <w:top w:val="none" w:sz="0" w:space="0" w:color="auto"/>
        <w:left w:val="none" w:sz="0" w:space="0" w:color="auto"/>
        <w:bottom w:val="none" w:sz="0" w:space="0" w:color="auto"/>
        <w:right w:val="none" w:sz="0" w:space="0" w:color="auto"/>
      </w:divBdr>
    </w:div>
    <w:div w:id="844393291">
      <w:bodyDiv w:val="1"/>
      <w:marLeft w:val="0"/>
      <w:marRight w:val="0"/>
      <w:marTop w:val="0"/>
      <w:marBottom w:val="0"/>
      <w:divBdr>
        <w:top w:val="none" w:sz="0" w:space="0" w:color="auto"/>
        <w:left w:val="none" w:sz="0" w:space="0" w:color="auto"/>
        <w:bottom w:val="none" w:sz="0" w:space="0" w:color="auto"/>
        <w:right w:val="none" w:sz="0" w:space="0" w:color="auto"/>
      </w:divBdr>
    </w:div>
    <w:div w:id="847867106">
      <w:bodyDiv w:val="1"/>
      <w:marLeft w:val="0"/>
      <w:marRight w:val="0"/>
      <w:marTop w:val="0"/>
      <w:marBottom w:val="0"/>
      <w:divBdr>
        <w:top w:val="none" w:sz="0" w:space="0" w:color="auto"/>
        <w:left w:val="none" w:sz="0" w:space="0" w:color="auto"/>
        <w:bottom w:val="none" w:sz="0" w:space="0" w:color="auto"/>
        <w:right w:val="none" w:sz="0" w:space="0" w:color="auto"/>
      </w:divBdr>
    </w:div>
    <w:div w:id="896663933">
      <w:bodyDiv w:val="1"/>
      <w:marLeft w:val="0"/>
      <w:marRight w:val="0"/>
      <w:marTop w:val="0"/>
      <w:marBottom w:val="0"/>
      <w:divBdr>
        <w:top w:val="none" w:sz="0" w:space="0" w:color="auto"/>
        <w:left w:val="none" w:sz="0" w:space="0" w:color="auto"/>
        <w:bottom w:val="none" w:sz="0" w:space="0" w:color="auto"/>
        <w:right w:val="none" w:sz="0" w:space="0" w:color="auto"/>
      </w:divBdr>
    </w:div>
    <w:div w:id="1003237423">
      <w:bodyDiv w:val="1"/>
      <w:marLeft w:val="0"/>
      <w:marRight w:val="0"/>
      <w:marTop w:val="0"/>
      <w:marBottom w:val="0"/>
      <w:divBdr>
        <w:top w:val="none" w:sz="0" w:space="0" w:color="auto"/>
        <w:left w:val="none" w:sz="0" w:space="0" w:color="auto"/>
        <w:bottom w:val="none" w:sz="0" w:space="0" w:color="auto"/>
        <w:right w:val="none" w:sz="0" w:space="0" w:color="auto"/>
      </w:divBdr>
    </w:div>
    <w:div w:id="1432093401">
      <w:bodyDiv w:val="1"/>
      <w:marLeft w:val="0"/>
      <w:marRight w:val="0"/>
      <w:marTop w:val="0"/>
      <w:marBottom w:val="0"/>
      <w:divBdr>
        <w:top w:val="none" w:sz="0" w:space="0" w:color="auto"/>
        <w:left w:val="none" w:sz="0" w:space="0" w:color="auto"/>
        <w:bottom w:val="none" w:sz="0" w:space="0" w:color="auto"/>
        <w:right w:val="none" w:sz="0" w:space="0" w:color="auto"/>
      </w:divBdr>
    </w:div>
    <w:div w:id="1469736916">
      <w:bodyDiv w:val="1"/>
      <w:marLeft w:val="0"/>
      <w:marRight w:val="0"/>
      <w:marTop w:val="0"/>
      <w:marBottom w:val="0"/>
      <w:divBdr>
        <w:top w:val="none" w:sz="0" w:space="0" w:color="auto"/>
        <w:left w:val="none" w:sz="0" w:space="0" w:color="auto"/>
        <w:bottom w:val="none" w:sz="0" w:space="0" w:color="auto"/>
        <w:right w:val="none" w:sz="0" w:space="0" w:color="auto"/>
      </w:divBdr>
    </w:div>
    <w:div w:id="1504784978">
      <w:bodyDiv w:val="1"/>
      <w:marLeft w:val="0"/>
      <w:marRight w:val="0"/>
      <w:marTop w:val="0"/>
      <w:marBottom w:val="0"/>
      <w:divBdr>
        <w:top w:val="none" w:sz="0" w:space="0" w:color="auto"/>
        <w:left w:val="none" w:sz="0" w:space="0" w:color="auto"/>
        <w:bottom w:val="none" w:sz="0" w:space="0" w:color="auto"/>
        <w:right w:val="none" w:sz="0" w:space="0" w:color="auto"/>
      </w:divBdr>
    </w:div>
    <w:div w:id="16735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973346462" Type="http://schemas.openxmlformats.org/officeDocument/2006/relationships/comments" Target="comments.xml"/><Relationship Id="rId77486739b9cc83c8b" Type="http://schemas.openxmlformats.org/officeDocument/2006/relationships/hyperlink" Target="https://financien.belgium.be/nl/landen-met-een-hoog-risico" TargetMode="External"/><Relationship Id="rId18676739b9cc852a0" Type="http://schemas.openxmlformats.org/officeDocument/2006/relationships/hyperlink" Target="https://financien.belgium.be/nl/landen-met-een-hoog-risico" TargetMode="External"/><Relationship Id="rId67606739b9cc857f6" Type="http://schemas.openxmlformats.org/officeDocument/2006/relationships/hyperlink" Target="https://financien.belgium.be/nl/thesaurie/financiele-sancties" TargetMode="External"/><Relationship Id="rId23646739b9cc868d5" Type="http://schemas.openxmlformats.org/officeDocument/2006/relationships/hyperlink" Target="https://beheer.beexcellent.be/Articles/article/CO59e47cfacf75c2.656653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F5CFAA-07BF-411A-8CA6-6C689D53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Words>
  <Characters>46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ITAA</dc:creator>
  <cp:lastModifiedBy>Rianne van de Kolk | WoodWing</cp:lastModifiedBy>
  <cp:revision>10</cp:revision>
  <dcterms:created xsi:type="dcterms:W3CDTF">2024-11-17T10:39:00Z</dcterms:created>
  <dcterms:modified xsi:type="dcterms:W3CDTF">2024-07-31T10:16:00Z</dcterms:modified>
  <dc:title>3.1 Algemene risicobeoordeling - MODEL 1</dc:title>
  <cp:keywords/>
  <dc:description/>
  <cp:category>Modellen en formulieren</cp:category>
  <cp:contentStatus>Published</cp:contentStatus>
</cp:coreProperties>
</file>

<file path=docProps/custom.xml><?xml version="1.0" encoding="utf-8"?>
<Properties xmlns:vt="http://schemas.openxmlformats.org/officeDocument/2006/docPropsVTypes" xmlns="http://schemas.openxmlformats.org/officeDocument/2006/custom-properties">
                                        </Properties>
</file>